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left"/>
        <w:rPr>
          <w:rFonts w:hint="default" w:ascii="仿宋_GB2312" w:hAnsi="华文仿宋" w:eastAsia="仿宋_GB2312"/>
          <w:b/>
          <w:color w:val="000000"/>
          <w:sz w:val="36"/>
          <w:szCs w:val="32"/>
          <w:lang w:val="en-US" w:eastAsia="zh-CN"/>
        </w:rPr>
      </w:pPr>
      <w:r>
        <w:rPr>
          <w:rFonts w:hint="eastAsia" w:ascii="仿宋_GB2312" w:hAnsi="华文仿宋" w:eastAsia="仿宋_GB2312"/>
          <w:b/>
          <w:color w:val="000000"/>
          <w:sz w:val="36"/>
          <w:szCs w:val="32"/>
          <w:lang w:val="en-US" w:eastAsia="zh-CN"/>
        </w:rPr>
        <w:t>附件2：</w:t>
      </w:r>
    </w:p>
    <w:p>
      <w:pPr>
        <w:adjustRightInd w:val="0"/>
        <w:snapToGrid w:val="0"/>
        <w:spacing w:line="560" w:lineRule="exact"/>
        <w:ind w:firstLine="723" w:firstLineChars="200"/>
        <w:jc w:val="center"/>
        <w:rPr>
          <w:rFonts w:ascii="仿宋_GB2312" w:hAnsi="华文仿宋" w:eastAsia="仿宋_GB2312"/>
          <w:b/>
          <w:color w:val="000000"/>
          <w:sz w:val="36"/>
          <w:szCs w:val="32"/>
        </w:rPr>
      </w:pPr>
      <w:r>
        <w:rPr>
          <w:rFonts w:hint="eastAsia" w:ascii="仿宋_GB2312" w:hAnsi="华文仿宋" w:eastAsia="仿宋_GB2312"/>
          <w:b/>
          <w:color w:val="000000"/>
          <w:sz w:val="36"/>
          <w:szCs w:val="32"/>
        </w:rPr>
        <w:t>南京中医药大学2021年“师生携手，并肩逐梦”师生趣味运动会竞赛规程</w:t>
      </w:r>
    </w:p>
    <w:p>
      <w:pPr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华文仿宋" w:eastAsia="仿宋_GB2312"/>
          <w:color w:val="000000"/>
          <w:szCs w:val="32"/>
        </w:rPr>
      </w:pPr>
    </w:p>
    <w:p>
      <w:pPr>
        <w:adjustRightInd w:val="0"/>
        <w:snapToGrid w:val="0"/>
        <w:spacing w:line="560" w:lineRule="exact"/>
        <w:jc w:val="lef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>一、主办单位：南京中医药大学党委研工部</w:t>
      </w:r>
    </w:p>
    <w:p>
      <w:pPr>
        <w:adjustRightInd w:val="0"/>
        <w:snapToGrid w:val="0"/>
        <w:spacing w:line="560" w:lineRule="exact"/>
        <w:jc w:val="lef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>二、承办单位：南京中医药大学研究生会</w:t>
      </w:r>
    </w:p>
    <w:p>
      <w:pPr>
        <w:adjustRightInd w:val="0"/>
        <w:snapToGrid w:val="0"/>
        <w:spacing w:line="560" w:lineRule="exact"/>
        <w:jc w:val="lef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>三、竞赛时间和地点</w:t>
      </w:r>
    </w:p>
    <w:p>
      <w:pPr>
        <w:adjustRightInd w:val="0"/>
        <w:snapToGrid w:val="0"/>
        <w:spacing w:line="560" w:lineRule="exact"/>
        <w:ind w:firstLine="615"/>
        <w:jc w:val="lef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>竞赛时间：2021年 5月30 日（星期日）</w:t>
      </w:r>
      <w:r>
        <w:rPr>
          <w:rFonts w:hint="eastAsia" w:ascii="仿宋_GB2312" w:hAnsi="华文仿宋" w:eastAsia="仿宋_GB2312"/>
          <w:color w:val="000000"/>
          <w:szCs w:val="32"/>
        </w:rPr>
        <w:tab/>
      </w:r>
    </w:p>
    <w:p>
      <w:pPr>
        <w:adjustRightInd w:val="0"/>
        <w:snapToGrid w:val="0"/>
        <w:spacing w:line="560" w:lineRule="exact"/>
        <w:ind w:firstLine="2240" w:firstLineChars="700"/>
        <w:jc w:val="lef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>早上9:00-12:20，下午14:00-17:00</w:t>
      </w:r>
    </w:p>
    <w:p>
      <w:pPr>
        <w:adjustRightInd w:val="0"/>
        <w:snapToGrid w:val="0"/>
        <w:spacing w:line="560" w:lineRule="exact"/>
        <w:ind w:firstLine="2240" w:firstLineChars="700"/>
        <w:jc w:val="lef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>羽毛球小组赛、排位赛、半决赛定于2021年5月30日早上9:00-12:20；</w:t>
      </w:r>
    </w:p>
    <w:p>
      <w:pPr>
        <w:adjustRightInd w:val="0"/>
        <w:snapToGrid w:val="0"/>
        <w:spacing w:line="560" w:lineRule="exact"/>
        <w:ind w:firstLine="2240" w:firstLineChars="700"/>
        <w:jc w:val="lef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>羽毛球决赛定于2021年5月30日下午14:00-15:00；</w:t>
      </w:r>
    </w:p>
    <w:p>
      <w:pPr>
        <w:adjustRightInd w:val="0"/>
        <w:snapToGrid w:val="0"/>
        <w:spacing w:line="560" w:lineRule="exact"/>
        <w:ind w:firstLine="2240" w:firstLineChars="700"/>
        <w:jc w:val="lef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>篮球定点投篮、足球九宫格定于2021年5月30日下午15：30同时开始；</w:t>
      </w:r>
    </w:p>
    <w:p>
      <w:pPr>
        <w:adjustRightInd w:val="0"/>
        <w:snapToGrid w:val="0"/>
        <w:spacing w:line="560" w:lineRule="exact"/>
        <w:ind w:firstLine="2240" w:firstLineChars="700"/>
        <w:jc w:val="lef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 xml:space="preserve">拔河比赛定于2021年5月30日下午16：30开始。 </w:t>
      </w:r>
    </w:p>
    <w:p>
      <w:pPr>
        <w:adjustRightInd w:val="0"/>
        <w:snapToGrid w:val="0"/>
        <w:spacing w:line="560" w:lineRule="exact"/>
        <w:jc w:val="lef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 xml:space="preserve">    竞赛地点：南京中医药大学体育馆二楼篮球场、体育馆羽毛球场以及西操小足球场、西操田径场</w:t>
      </w:r>
    </w:p>
    <w:p>
      <w:pPr>
        <w:adjustRightInd w:val="0"/>
        <w:snapToGrid w:val="0"/>
        <w:spacing w:line="560" w:lineRule="exact"/>
        <w:jc w:val="lef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>四、参赛资格、参赛办法</w:t>
      </w:r>
    </w:p>
    <w:p>
      <w:pPr>
        <w:adjustRightInd w:val="0"/>
        <w:snapToGrid w:val="0"/>
        <w:spacing w:line="560" w:lineRule="exact"/>
        <w:jc w:val="lef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 xml:space="preserve">    1.参赛者必须是南京中医药大学在读研究生或在职教职工。</w:t>
      </w:r>
    </w:p>
    <w:p>
      <w:pPr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>2. 以各培养单位为单位参赛，每培养单位可报多支队伍，每队限报10人，其中教师不得少于3人。若教师报名人数不足3人或总报名人数不足10人，可提交报名表由校研究生会协调与其他培养单位组成联队。</w:t>
      </w:r>
    </w:p>
    <w:p>
      <w:pPr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>3.非研究生培养单位教职工可自行联系挂靠相关学院报名。</w:t>
      </w:r>
    </w:p>
    <w:p>
      <w:pPr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>4.参赛者身体状况不佳存在安全隐患的严禁参赛</w:t>
      </w:r>
    </w:p>
    <w:p>
      <w:pPr>
        <w:adjustRightInd w:val="0"/>
        <w:snapToGrid w:val="0"/>
        <w:spacing w:line="560" w:lineRule="exact"/>
        <w:jc w:val="lef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>五、比赛规则</w:t>
      </w:r>
    </w:p>
    <w:p>
      <w:pPr>
        <w:adjustRightInd w:val="0"/>
        <w:snapToGrid w:val="0"/>
        <w:spacing w:line="560" w:lineRule="exact"/>
        <w:ind w:firstLine="593"/>
        <w:jc w:val="lef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>本次团体比赛分共为四个项目，按照四个项目积分之和确定总积分，如果出现同分情况，取师生羽毛球双打比赛名次靠前的队伍为名次高者。团体比赛积分规则如下表：</w:t>
      </w:r>
    </w:p>
    <w:tbl>
      <w:tblPr>
        <w:tblStyle w:val="2"/>
        <w:tblW w:w="8370" w:type="dxa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2"/>
        <w:gridCol w:w="2092"/>
        <w:gridCol w:w="2093"/>
        <w:gridCol w:w="20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ind w:firstLine="593"/>
              <w:jc w:val="center"/>
              <w:rPr>
                <w:rFonts w:ascii="仿宋_GB2312" w:hAnsi="华文仿宋" w:eastAsia="仿宋_GB2312"/>
                <w:color w:val="000000"/>
                <w:szCs w:val="32"/>
              </w:rPr>
            </w:pPr>
            <w:r>
              <w:rPr>
                <w:rFonts w:hint="eastAsia" w:ascii="仿宋_GB2312" w:hAnsi="华文仿宋" w:eastAsia="仿宋_GB2312"/>
                <w:color w:val="000000"/>
                <w:szCs w:val="32"/>
              </w:rPr>
              <w:t>名次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华文仿宋" w:eastAsia="仿宋_GB2312"/>
                <w:color w:val="000000"/>
                <w:szCs w:val="32"/>
              </w:rPr>
            </w:pPr>
            <w:r>
              <w:rPr>
                <w:rFonts w:hint="eastAsia" w:ascii="仿宋_GB2312" w:hAnsi="华文仿宋" w:eastAsia="仿宋_GB2312"/>
                <w:color w:val="000000"/>
                <w:szCs w:val="32"/>
              </w:rPr>
              <w:t>师生羽毛球</w:t>
            </w: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华文仿宋" w:eastAsia="仿宋_GB2312"/>
                <w:color w:val="000000"/>
                <w:szCs w:val="32"/>
              </w:rPr>
            </w:pPr>
            <w:r>
              <w:rPr>
                <w:rFonts w:hint="eastAsia" w:ascii="仿宋_GB2312" w:hAnsi="华文仿宋" w:eastAsia="仿宋_GB2312"/>
                <w:color w:val="000000"/>
                <w:szCs w:val="32"/>
              </w:rPr>
              <w:t>双打比赛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华文仿宋" w:eastAsia="仿宋_GB2312"/>
                <w:color w:val="000000"/>
                <w:szCs w:val="32"/>
              </w:rPr>
            </w:pPr>
            <w:r>
              <w:rPr>
                <w:rFonts w:hint="eastAsia" w:ascii="仿宋_GB2312" w:hAnsi="华文仿宋" w:eastAsia="仿宋_GB2312"/>
                <w:color w:val="000000"/>
                <w:szCs w:val="32"/>
              </w:rPr>
              <w:t>足球九宫格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华文仿宋" w:eastAsia="仿宋_GB2312"/>
                <w:color w:val="000000"/>
                <w:szCs w:val="32"/>
              </w:rPr>
            </w:pPr>
            <w:r>
              <w:rPr>
                <w:rFonts w:hint="eastAsia" w:ascii="仿宋_GB2312" w:hAnsi="华文仿宋" w:eastAsia="仿宋_GB2312"/>
                <w:color w:val="000000"/>
                <w:szCs w:val="32"/>
              </w:rPr>
              <w:t>定点投篮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ind w:firstLine="593"/>
              <w:jc w:val="center"/>
              <w:rPr>
                <w:rFonts w:ascii="仿宋_GB2312" w:hAnsi="华文仿宋" w:eastAsia="仿宋_GB2312"/>
                <w:color w:val="000000"/>
                <w:szCs w:val="32"/>
              </w:rPr>
            </w:pPr>
            <w:r>
              <w:rPr>
                <w:rFonts w:hint="eastAsia" w:ascii="仿宋_GB2312" w:hAnsi="华文仿宋" w:eastAsia="仿宋_GB2312"/>
                <w:color w:val="000000"/>
                <w:szCs w:val="32"/>
              </w:rPr>
              <w:t>1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ind w:firstLine="593"/>
              <w:jc w:val="center"/>
              <w:rPr>
                <w:rFonts w:ascii="仿宋_GB2312" w:hAnsi="华文仿宋" w:eastAsia="仿宋_GB2312"/>
                <w:color w:val="000000"/>
                <w:szCs w:val="32"/>
              </w:rPr>
            </w:pPr>
            <w:r>
              <w:rPr>
                <w:rFonts w:hint="eastAsia" w:ascii="仿宋_GB2312" w:hAnsi="华文仿宋" w:eastAsia="仿宋_GB2312"/>
                <w:color w:val="000000"/>
                <w:szCs w:val="32"/>
              </w:rPr>
              <w:t>10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ind w:firstLine="593"/>
              <w:jc w:val="center"/>
              <w:rPr>
                <w:rFonts w:ascii="仿宋_GB2312" w:hAnsi="华文仿宋" w:eastAsia="仿宋_GB2312"/>
                <w:color w:val="000000"/>
                <w:szCs w:val="32"/>
              </w:rPr>
            </w:pPr>
            <w:r>
              <w:rPr>
                <w:rFonts w:hint="eastAsia" w:ascii="仿宋_GB2312" w:hAnsi="华文仿宋" w:eastAsia="仿宋_GB2312"/>
                <w:color w:val="000000"/>
                <w:szCs w:val="32"/>
              </w:rPr>
              <w:t>10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ind w:firstLine="593"/>
              <w:jc w:val="center"/>
              <w:rPr>
                <w:rFonts w:ascii="仿宋_GB2312" w:hAnsi="华文仿宋" w:eastAsia="仿宋_GB2312"/>
                <w:color w:val="000000"/>
                <w:szCs w:val="32"/>
              </w:rPr>
            </w:pPr>
            <w:r>
              <w:rPr>
                <w:rFonts w:hint="eastAsia" w:ascii="仿宋_GB2312" w:hAnsi="华文仿宋" w:eastAsia="仿宋_GB2312"/>
                <w:color w:val="000000"/>
                <w:szCs w:val="32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ind w:firstLine="593"/>
              <w:jc w:val="center"/>
              <w:rPr>
                <w:rFonts w:ascii="仿宋_GB2312" w:hAnsi="华文仿宋" w:eastAsia="仿宋_GB2312"/>
                <w:color w:val="000000"/>
                <w:szCs w:val="32"/>
              </w:rPr>
            </w:pPr>
            <w:r>
              <w:rPr>
                <w:rFonts w:hint="eastAsia" w:ascii="仿宋_GB2312" w:hAnsi="华文仿宋" w:eastAsia="仿宋_GB2312"/>
                <w:color w:val="000000"/>
                <w:szCs w:val="32"/>
              </w:rPr>
              <w:t>2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ind w:firstLine="593"/>
              <w:jc w:val="center"/>
              <w:rPr>
                <w:rFonts w:ascii="仿宋_GB2312" w:hAnsi="华文仿宋" w:eastAsia="仿宋_GB2312"/>
                <w:color w:val="000000"/>
                <w:szCs w:val="32"/>
              </w:rPr>
            </w:pPr>
            <w:r>
              <w:rPr>
                <w:rFonts w:hint="eastAsia" w:ascii="仿宋_GB2312" w:hAnsi="华文仿宋" w:eastAsia="仿宋_GB2312"/>
                <w:color w:val="000000"/>
                <w:szCs w:val="32"/>
              </w:rPr>
              <w:t>9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ind w:firstLine="593"/>
              <w:jc w:val="center"/>
              <w:rPr>
                <w:rFonts w:ascii="仿宋_GB2312" w:hAnsi="华文仿宋" w:eastAsia="仿宋_GB2312"/>
                <w:color w:val="000000"/>
                <w:szCs w:val="32"/>
              </w:rPr>
            </w:pPr>
            <w:r>
              <w:rPr>
                <w:rFonts w:hint="eastAsia" w:ascii="仿宋_GB2312" w:hAnsi="华文仿宋" w:eastAsia="仿宋_GB2312"/>
                <w:color w:val="000000"/>
                <w:szCs w:val="32"/>
              </w:rPr>
              <w:t>9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ind w:firstLine="593"/>
              <w:jc w:val="center"/>
              <w:rPr>
                <w:rFonts w:ascii="仿宋_GB2312" w:hAnsi="华文仿宋" w:eastAsia="仿宋_GB2312"/>
                <w:color w:val="000000"/>
                <w:szCs w:val="32"/>
              </w:rPr>
            </w:pPr>
            <w:r>
              <w:rPr>
                <w:rFonts w:hint="eastAsia" w:ascii="仿宋_GB2312" w:hAnsi="华文仿宋" w:eastAsia="仿宋_GB2312"/>
                <w:color w:val="000000"/>
                <w:szCs w:val="32"/>
              </w:rPr>
              <w:t>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ind w:firstLine="593"/>
              <w:jc w:val="center"/>
              <w:rPr>
                <w:rFonts w:ascii="仿宋_GB2312" w:hAnsi="华文仿宋" w:eastAsia="仿宋_GB2312"/>
                <w:color w:val="000000"/>
                <w:szCs w:val="32"/>
              </w:rPr>
            </w:pPr>
            <w:r>
              <w:rPr>
                <w:rFonts w:hint="eastAsia" w:ascii="仿宋_GB2312" w:hAnsi="华文仿宋" w:eastAsia="仿宋_GB2312"/>
                <w:color w:val="000000"/>
                <w:szCs w:val="32"/>
              </w:rPr>
              <w:t>3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ind w:firstLine="593"/>
              <w:jc w:val="center"/>
              <w:rPr>
                <w:rFonts w:ascii="仿宋_GB2312" w:hAnsi="华文仿宋" w:eastAsia="仿宋_GB2312"/>
                <w:color w:val="000000"/>
                <w:szCs w:val="32"/>
              </w:rPr>
            </w:pPr>
            <w:r>
              <w:rPr>
                <w:rFonts w:hint="eastAsia" w:ascii="仿宋_GB2312" w:hAnsi="华文仿宋" w:eastAsia="仿宋_GB2312"/>
                <w:color w:val="000000"/>
                <w:szCs w:val="32"/>
              </w:rPr>
              <w:t>8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ind w:firstLine="593"/>
              <w:jc w:val="center"/>
              <w:rPr>
                <w:rFonts w:ascii="仿宋_GB2312" w:hAnsi="华文仿宋" w:eastAsia="仿宋_GB2312"/>
                <w:color w:val="000000"/>
                <w:szCs w:val="32"/>
              </w:rPr>
            </w:pPr>
            <w:r>
              <w:rPr>
                <w:rFonts w:hint="eastAsia" w:ascii="仿宋_GB2312" w:hAnsi="华文仿宋" w:eastAsia="仿宋_GB2312"/>
                <w:color w:val="000000"/>
                <w:szCs w:val="32"/>
              </w:rPr>
              <w:t>8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ind w:firstLine="593"/>
              <w:jc w:val="center"/>
              <w:rPr>
                <w:rFonts w:ascii="仿宋_GB2312" w:hAnsi="华文仿宋" w:eastAsia="仿宋_GB2312"/>
                <w:color w:val="000000"/>
                <w:szCs w:val="32"/>
              </w:rPr>
            </w:pPr>
            <w:r>
              <w:rPr>
                <w:rFonts w:hint="eastAsia" w:ascii="仿宋_GB2312" w:hAnsi="华文仿宋" w:eastAsia="仿宋_GB2312"/>
                <w:color w:val="000000"/>
                <w:szCs w:val="32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ind w:firstLine="593"/>
              <w:jc w:val="center"/>
              <w:rPr>
                <w:rFonts w:ascii="仿宋_GB2312" w:hAnsi="华文仿宋" w:eastAsia="仿宋_GB2312"/>
                <w:color w:val="000000"/>
                <w:szCs w:val="32"/>
              </w:rPr>
            </w:pPr>
            <w:r>
              <w:rPr>
                <w:rFonts w:hint="eastAsia" w:ascii="仿宋_GB2312" w:hAnsi="华文仿宋" w:eastAsia="仿宋_GB2312"/>
                <w:color w:val="000000"/>
                <w:szCs w:val="32"/>
              </w:rPr>
              <w:t>4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ind w:firstLine="593"/>
              <w:jc w:val="center"/>
              <w:rPr>
                <w:rFonts w:ascii="仿宋_GB2312" w:hAnsi="华文仿宋" w:eastAsia="仿宋_GB2312"/>
                <w:color w:val="000000"/>
                <w:szCs w:val="32"/>
              </w:rPr>
            </w:pPr>
            <w:r>
              <w:rPr>
                <w:rFonts w:hint="eastAsia" w:ascii="仿宋_GB2312" w:hAnsi="华文仿宋" w:eastAsia="仿宋_GB2312"/>
                <w:color w:val="000000"/>
                <w:szCs w:val="32"/>
              </w:rPr>
              <w:t>7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ind w:firstLine="593"/>
              <w:jc w:val="center"/>
              <w:rPr>
                <w:rFonts w:ascii="仿宋_GB2312" w:hAnsi="华文仿宋" w:eastAsia="仿宋_GB2312"/>
                <w:color w:val="000000"/>
                <w:szCs w:val="32"/>
              </w:rPr>
            </w:pPr>
            <w:r>
              <w:rPr>
                <w:rFonts w:hint="eastAsia" w:ascii="仿宋_GB2312" w:hAnsi="华文仿宋" w:eastAsia="仿宋_GB2312"/>
                <w:color w:val="000000"/>
                <w:szCs w:val="32"/>
              </w:rPr>
              <w:t>7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ind w:firstLine="593"/>
              <w:jc w:val="center"/>
              <w:rPr>
                <w:rFonts w:ascii="仿宋_GB2312" w:hAnsi="华文仿宋" w:eastAsia="仿宋_GB2312"/>
                <w:color w:val="000000"/>
                <w:szCs w:val="32"/>
              </w:rPr>
            </w:pPr>
            <w:r>
              <w:rPr>
                <w:rFonts w:hint="eastAsia" w:ascii="仿宋_GB2312" w:hAnsi="华文仿宋" w:eastAsia="仿宋_GB2312"/>
                <w:color w:val="000000"/>
                <w:szCs w:val="32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ind w:firstLine="593"/>
              <w:jc w:val="center"/>
              <w:rPr>
                <w:rFonts w:ascii="仿宋_GB2312" w:hAnsi="华文仿宋" w:eastAsia="仿宋_GB2312"/>
                <w:color w:val="000000"/>
                <w:szCs w:val="32"/>
              </w:rPr>
            </w:pPr>
            <w:r>
              <w:rPr>
                <w:rFonts w:hint="eastAsia" w:ascii="仿宋_GB2312" w:hAnsi="华文仿宋" w:eastAsia="仿宋_GB2312"/>
                <w:color w:val="000000"/>
                <w:szCs w:val="32"/>
              </w:rPr>
              <w:t>5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ind w:firstLine="593"/>
              <w:jc w:val="center"/>
              <w:rPr>
                <w:rFonts w:ascii="仿宋_GB2312" w:hAnsi="华文仿宋" w:eastAsia="仿宋_GB2312"/>
                <w:color w:val="000000"/>
                <w:szCs w:val="32"/>
              </w:rPr>
            </w:pPr>
            <w:r>
              <w:rPr>
                <w:rFonts w:hint="eastAsia" w:ascii="仿宋_GB2312" w:hAnsi="华文仿宋" w:eastAsia="仿宋_GB2312"/>
                <w:color w:val="000000"/>
                <w:szCs w:val="32"/>
              </w:rPr>
              <w:t>6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ind w:firstLine="593"/>
              <w:jc w:val="center"/>
              <w:rPr>
                <w:rFonts w:ascii="仿宋_GB2312" w:hAnsi="华文仿宋" w:eastAsia="仿宋_GB2312"/>
                <w:color w:val="000000"/>
                <w:szCs w:val="32"/>
              </w:rPr>
            </w:pPr>
            <w:r>
              <w:rPr>
                <w:rFonts w:hint="eastAsia" w:ascii="仿宋_GB2312" w:hAnsi="华文仿宋" w:eastAsia="仿宋_GB2312"/>
                <w:color w:val="000000"/>
                <w:szCs w:val="32"/>
              </w:rPr>
              <w:t>6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ind w:firstLine="593"/>
              <w:jc w:val="center"/>
              <w:rPr>
                <w:rFonts w:ascii="仿宋_GB2312" w:hAnsi="华文仿宋" w:eastAsia="仿宋_GB2312"/>
                <w:color w:val="000000"/>
                <w:szCs w:val="32"/>
              </w:rPr>
            </w:pPr>
            <w:r>
              <w:rPr>
                <w:rFonts w:hint="eastAsia" w:ascii="仿宋_GB2312" w:hAnsi="华文仿宋" w:eastAsia="仿宋_GB2312"/>
                <w:color w:val="000000"/>
                <w:szCs w:val="32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ind w:firstLine="593"/>
              <w:jc w:val="center"/>
              <w:rPr>
                <w:rFonts w:ascii="仿宋_GB2312" w:hAnsi="华文仿宋" w:eastAsia="仿宋_GB2312"/>
                <w:color w:val="000000"/>
                <w:szCs w:val="32"/>
              </w:rPr>
            </w:pPr>
            <w:r>
              <w:rPr>
                <w:rFonts w:hint="eastAsia" w:ascii="仿宋_GB2312" w:hAnsi="华文仿宋" w:eastAsia="仿宋_GB2312"/>
                <w:color w:val="000000"/>
                <w:szCs w:val="32"/>
              </w:rPr>
              <w:t>6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ind w:firstLine="593"/>
              <w:jc w:val="center"/>
              <w:rPr>
                <w:rFonts w:ascii="仿宋_GB2312" w:hAnsi="华文仿宋" w:eastAsia="仿宋_GB2312"/>
                <w:color w:val="000000"/>
                <w:szCs w:val="32"/>
              </w:rPr>
            </w:pPr>
            <w:r>
              <w:rPr>
                <w:rFonts w:hint="eastAsia" w:ascii="仿宋_GB2312" w:hAnsi="华文仿宋" w:eastAsia="仿宋_GB2312"/>
                <w:color w:val="000000"/>
                <w:szCs w:val="32"/>
              </w:rPr>
              <w:t>5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ind w:firstLine="593"/>
              <w:jc w:val="center"/>
              <w:rPr>
                <w:rFonts w:ascii="仿宋_GB2312" w:hAnsi="华文仿宋" w:eastAsia="仿宋_GB2312"/>
                <w:color w:val="000000"/>
                <w:szCs w:val="32"/>
              </w:rPr>
            </w:pPr>
            <w:r>
              <w:rPr>
                <w:rFonts w:hint="eastAsia" w:ascii="仿宋_GB2312" w:hAnsi="华文仿宋" w:eastAsia="仿宋_GB2312"/>
                <w:color w:val="000000"/>
                <w:szCs w:val="32"/>
              </w:rPr>
              <w:t>5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ind w:firstLine="593"/>
              <w:jc w:val="center"/>
              <w:rPr>
                <w:rFonts w:ascii="仿宋_GB2312" w:hAnsi="华文仿宋" w:eastAsia="仿宋_GB2312"/>
                <w:color w:val="000000"/>
                <w:szCs w:val="32"/>
              </w:rPr>
            </w:pPr>
            <w:r>
              <w:rPr>
                <w:rFonts w:hint="eastAsia" w:ascii="仿宋_GB2312" w:hAnsi="华文仿宋" w:eastAsia="仿宋_GB2312"/>
                <w:color w:val="000000"/>
                <w:szCs w:val="32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ind w:firstLine="593"/>
              <w:jc w:val="center"/>
              <w:rPr>
                <w:rFonts w:ascii="仿宋_GB2312" w:hAnsi="华文仿宋" w:eastAsia="仿宋_GB2312"/>
                <w:color w:val="000000"/>
                <w:szCs w:val="32"/>
              </w:rPr>
            </w:pPr>
            <w:r>
              <w:rPr>
                <w:rFonts w:hint="eastAsia" w:ascii="仿宋_GB2312" w:hAnsi="华文仿宋" w:eastAsia="仿宋_GB2312"/>
                <w:color w:val="000000"/>
                <w:szCs w:val="32"/>
              </w:rPr>
              <w:t>7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ind w:firstLine="593"/>
              <w:jc w:val="center"/>
              <w:rPr>
                <w:rFonts w:ascii="仿宋_GB2312" w:hAnsi="华文仿宋" w:eastAsia="仿宋_GB2312"/>
                <w:color w:val="000000"/>
                <w:szCs w:val="32"/>
              </w:rPr>
            </w:pPr>
            <w:r>
              <w:rPr>
                <w:rFonts w:hint="eastAsia" w:ascii="仿宋_GB2312" w:hAnsi="华文仿宋" w:eastAsia="仿宋_GB2312"/>
                <w:color w:val="000000"/>
                <w:szCs w:val="32"/>
              </w:rPr>
              <w:t>4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ind w:firstLine="593"/>
              <w:jc w:val="center"/>
              <w:rPr>
                <w:rFonts w:ascii="仿宋_GB2312" w:hAnsi="华文仿宋" w:eastAsia="仿宋_GB2312"/>
                <w:color w:val="000000"/>
                <w:szCs w:val="32"/>
              </w:rPr>
            </w:pPr>
            <w:r>
              <w:rPr>
                <w:rFonts w:hint="eastAsia" w:ascii="仿宋_GB2312" w:hAnsi="华文仿宋" w:eastAsia="仿宋_GB2312"/>
                <w:color w:val="000000"/>
                <w:szCs w:val="32"/>
              </w:rPr>
              <w:t>4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ind w:firstLine="593"/>
              <w:jc w:val="center"/>
              <w:rPr>
                <w:rFonts w:ascii="仿宋_GB2312" w:hAnsi="华文仿宋" w:eastAsia="仿宋_GB2312"/>
                <w:color w:val="000000"/>
                <w:szCs w:val="32"/>
              </w:rPr>
            </w:pPr>
            <w:r>
              <w:rPr>
                <w:rFonts w:hint="eastAsia" w:ascii="仿宋_GB2312" w:hAnsi="华文仿宋" w:eastAsia="仿宋_GB2312"/>
                <w:color w:val="000000"/>
                <w:szCs w:val="32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ind w:firstLine="593"/>
              <w:jc w:val="center"/>
              <w:rPr>
                <w:rFonts w:ascii="仿宋_GB2312" w:hAnsi="华文仿宋" w:eastAsia="仿宋_GB2312"/>
                <w:color w:val="000000"/>
                <w:szCs w:val="32"/>
              </w:rPr>
            </w:pPr>
            <w:r>
              <w:rPr>
                <w:rFonts w:hint="eastAsia" w:ascii="仿宋_GB2312" w:hAnsi="华文仿宋" w:eastAsia="仿宋_GB2312"/>
                <w:color w:val="000000"/>
                <w:szCs w:val="32"/>
              </w:rPr>
              <w:t>8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ind w:firstLine="593"/>
              <w:jc w:val="center"/>
              <w:rPr>
                <w:rFonts w:ascii="仿宋_GB2312" w:hAnsi="华文仿宋" w:eastAsia="仿宋_GB2312"/>
                <w:color w:val="000000"/>
                <w:szCs w:val="32"/>
              </w:rPr>
            </w:pPr>
            <w:r>
              <w:rPr>
                <w:rFonts w:hint="eastAsia" w:ascii="仿宋_GB2312" w:hAnsi="华文仿宋" w:eastAsia="仿宋_GB2312"/>
                <w:color w:val="000000"/>
                <w:szCs w:val="32"/>
              </w:rPr>
              <w:t>3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ind w:firstLine="593"/>
              <w:jc w:val="center"/>
              <w:rPr>
                <w:rFonts w:ascii="仿宋_GB2312" w:hAnsi="华文仿宋" w:eastAsia="仿宋_GB2312"/>
                <w:color w:val="000000"/>
                <w:szCs w:val="32"/>
              </w:rPr>
            </w:pPr>
            <w:r>
              <w:rPr>
                <w:rFonts w:hint="eastAsia" w:ascii="仿宋_GB2312" w:hAnsi="华文仿宋" w:eastAsia="仿宋_GB2312"/>
                <w:color w:val="000000"/>
                <w:szCs w:val="32"/>
              </w:rPr>
              <w:t>3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ind w:firstLine="593"/>
              <w:jc w:val="center"/>
              <w:rPr>
                <w:rFonts w:ascii="仿宋_GB2312" w:hAnsi="华文仿宋" w:eastAsia="仿宋_GB2312"/>
                <w:color w:val="000000"/>
                <w:szCs w:val="32"/>
              </w:rPr>
            </w:pPr>
            <w:r>
              <w:rPr>
                <w:rFonts w:hint="eastAsia" w:ascii="仿宋_GB2312" w:hAnsi="华文仿宋" w:eastAsia="仿宋_GB2312"/>
                <w:color w:val="000000"/>
                <w:szCs w:val="3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ind w:firstLine="593"/>
              <w:jc w:val="center"/>
              <w:rPr>
                <w:rFonts w:ascii="仿宋_GB2312" w:hAnsi="华文仿宋" w:eastAsia="仿宋_GB2312"/>
                <w:color w:val="000000"/>
                <w:szCs w:val="32"/>
              </w:rPr>
            </w:pPr>
            <w:r>
              <w:rPr>
                <w:rFonts w:hint="eastAsia" w:ascii="仿宋_GB2312" w:hAnsi="华文仿宋" w:eastAsia="仿宋_GB2312"/>
                <w:color w:val="000000"/>
                <w:szCs w:val="32"/>
              </w:rPr>
              <w:t>9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ind w:firstLine="593"/>
              <w:jc w:val="center"/>
              <w:rPr>
                <w:rFonts w:ascii="仿宋_GB2312" w:hAnsi="华文仿宋" w:eastAsia="仿宋_GB2312"/>
                <w:color w:val="000000"/>
                <w:szCs w:val="32"/>
              </w:rPr>
            </w:pPr>
            <w:r>
              <w:rPr>
                <w:rFonts w:hint="eastAsia" w:ascii="仿宋_GB2312" w:hAnsi="华文仿宋" w:eastAsia="仿宋_GB2312"/>
                <w:color w:val="000000"/>
                <w:szCs w:val="32"/>
              </w:rPr>
              <w:t>2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ind w:firstLine="593"/>
              <w:jc w:val="center"/>
              <w:rPr>
                <w:rFonts w:ascii="仿宋_GB2312" w:hAnsi="华文仿宋" w:eastAsia="仿宋_GB2312"/>
                <w:color w:val="000000"/>
                <w:szCs w:val="32"/>
              </w:rPr>
            </w:pPr>
            <w:r>
              <w:rPr>
                <w:rFonts w:hint="eastAsia" w:ascii="仿宋_GB2312" w:hAnsi="华文仿宋" w:eastAsia="仿宋_GB2312"/>
                <w:color w:val="000000"/>
                <w:szCs w:val="32"/>
              </w:rPr>
              <w:t>2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ind w:firstLine="593"/>
              <w:jc w:val="center"/>
              <w:rPr>
                <w:rFonts w:ascii="仿宋_GB2312" w:hAnsi="华文仿宋" w:eastAsia="仿宋_GB2312"/>
                <w:color w:val="000000"/>
                <w:szCs w:val="32"/>
              </w:rPr>
            </w:pPr>
            <w:r>
              <w:rPr>
                <w:rFonts w:hint="eastAsia" w:ascii="仿宋_GB2312" w:hAnsi="华文仿宋" w:eastAsia="仿宋_GB2312"/>
                <w:color w:val="000000"/>
                <w:szCs w:val="3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ind w:firstLine="593"/>
              <w:jc w:val="center"/>
              <w:rPr>
                <w:rFonts w:ascii="仿宋_GB2312" w:hAnsi="华文仿宋" w:eastAsia="仿宋_GB2312"/>
                <w:color w:val="000000"/>
                <w:szCs w:val="32"/>
              </w:rPr>
            </w:pPr>
            <w:r>
              <w:rPr>
                <w:rFonts w:hint="eastAsia" w:ascii="仿宋_GB2312" w:hAnsi="华文仿宋" w:eastAsia="仿宋_GB2312"/>
                <w:color w:val="000000"/>
                <w:szCs w:val="32"/>
              </w:rPr>
              <w:t>10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ind w:firstLine="593"/>
              <w:jc w:val="center"/>
              <w:rPr>
                <w:rFonts w:ascii="仿宋_GB2312" w:hAnsi="华文仿宋" w:eastAsia="仿宋_GB2312"/>
                <w:color w:val="000000"/>
                <w:szCs w:val="32"/>
              </w:rPr>
            </w:pPr>
            <w:r>
              <w:rPr>
                <w:rFonts w:hint="eastAsia" w:ascii="仿宋_GB2312" w:hAnsi="华文仿宋" w:eastAsia="仿宋_GB2312"/>
                <w:color w:val="000000"/>
                <w:szCs w:val="32"/>
              </w:rPr>
              <w:t>1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ind w:firstLine="593"/>
              <w:jc w:val="center"/>
              <w:rPr>
                <w:rFonts w:ascii="仿宋_GB2312" w:hAnsi="华文仿宋" w:eastAsia="仿宋_GB2312"/>
                <w:color w:val="000000"/>
                <w:szCs w:val="32"/>
              </w:rPr>
            </w:pPr>
            <w:r>
              <w:rPr>
                <w:rFonts w:hint="eastAsia" w:ascii="仿宋_GB2312" w:hAnsi="华文仿宋" w:eastAsia="仿宋_GB2312"/>
                <w:color w:val="000000"/>
                <w:szCs w:val="32"/>
              </w:rPr>
              <w:t>1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ind w:firstLine="593"/>
              <w:jc w:val="center"/>
              <w:rPr>
                <w:rFonts w:ascii="仿宋_GB2312" w:hAnsi="华文仿宋" w:eastAsia="仿宋_GB2312"/>
                <w:color w:val="000000"/>
                <w:szCs w:val="32"/>
              </w:rPr>
            </w:pPr>
            <w:r>
              <w:rPr>
                <w:rFonts w:hint="eastAsia" w:ascii="仿宋_GB2312" w:hAnsi="华文仿宋" w:eastAsia="仿宋_GB2312"/>
                <w:color w:val="000000"/>
                <w:szCs w:val="3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ind w:firstLine="593"/>
              <w:jc w:val="center"/>
              <w:rPr>
                <w:rFonts w:ascii="仿宋_GB2312" w:hAnsi="华文仿宋" w:eastAsia="仿宋_GB2312"/>
                <w:color w:val="000000"/>
                <w:szCs w:val="32"/>
              </w:rPr>
            </w:pPr>
            <w:r>
              <w:rPr>
                <w:rFonts w:hint="eastAsia" w:ascii="仿宋_GB2312" w:hAnsi="华文仿宋" w:eastAsia="仿宋_GB2312"/>
                <w:color w:val="000000"/>
                <w:szCs w:val="32"/>
              </w:rPr>
              <w:t>11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ind w:firstLine="593"/>
              <w:jc w:val="center"/>
              <w:rPr>
                <w:rFonts w:ascii="仿宋_GB2312" w:hAnsi="华文仿宋" w:eastAsia="仿宋_GB2312"/>
                <w:color w:val="000000"/>
                <w:szCs w:val="32"/>
              </w:rPr>
            </w:pPr>
            <w:r>
              <w:rPr>
                <w:rFonts w:hint="eastAsia" w:ascii="仿宋_GB2312" w:hAnsi="华文仿宋" w:eastAsia="仿宋_GB2312"/>
                <w:color w:val="000000"/>
                <w:szCs w:val="32"/>
              </w:rPr>
              <w:t>0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ind w:firstLine="593"/>
              <w:jc w:val="center"/>
              <w:rPr>
                <w:rFonts w:ascii="仿宋_GB2312" w:hAnsi="华文仿宋" w:eastAsia="仿宋_GB2312"/>
                <w:color w:val="000000"/>
                <w:szCs w:val="32"/>
              </w:rPr>
            </w:pPr>
            <w:r>
              <w:rPr>
                <w:rFonts w:hint="eastAsia" w:ascii="仿宋_GB2312" w:hAnsi="华文仿宋" w:eastAsia="仿宋_GB2312"/>
                <w:color w:val="000000"/>
                <w:szCs w:val="32"/>
              </w:rPr>
              <w:t>0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ind w:firstLine="593"/>
              <w:jc w:val="center"/>
              <w:rPr>
                <w:rFonts w:ascii="仿宋_GB2312" w:hAnsi="华文仿宋" w:eastAsia="仿宋_GB2312"/>
                <w:color w:val="000000"/>
                <w:szCs w:val="32"/>
              </w:rPr>
            </w:pPr>
            <w:r>
              <w:rPr>
                <w:rFonts w:hint="eastAsia" w:ascii="仿宋_GB2312" w:hAnsi="华文仿宋" w:eastAsia="仿宋_GB2312"/>
                <w:color w:val="000000"/>
                <w:szCs w:val="3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ind w:firstLine="593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</w:p>
        </w:tc>
        <w:tc>
          <w:tcPr>
            <w:tcW w:w="1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ind w:firstLine="593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  <w:r>
              <w:rPr>
                <w:rFonts w:hint="eastAsia" w:ascii="仿宋_GB2312" w:hAnsi="华文仿宋" w:eastAsia="仿宋_GB2312"/>
                <w:color w:val="000000"/>
                <w:szCs w:val="32"/>
              </w:rPr>
              <w:t>拔河比赛获胜的联队加10分，败者不加分。</w:t>
            </w:r>
            <w:bookmarkStart w:id="0" w:name="_GoBack"/>
            <w:bookmarkEnd w:id="0"/>
          </w:p>
        </w:tc>
      </w:tr>
    </w:tbl>
    <w:p>
      <w:pPr>
        <w:adjustRightInd w:val="0"/>
        <w:snapToGrid w:val="0"/>
        <w:spacing w:line="560" w:lineRule="exact"/>
        <w:ind w:firstLine="593"/>
        <w:jc w:val="lef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>（一）师生羽毛球双打比赛</w:t>
      </w:r>
    </w:p>
    <w:p>
      <w:pPr>
        <w:adjustRightInd w:val="0"/>
        <w:snapToGrid w:val="0"/>
        <w:spacing w:line="560" w:lineRule="exact"/>
        <w:ind w:firstLine="593"/>
        <w:jc w:val="lef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>1. 比赛赛制：先进行小组循环赛，之后进行排位赛。小组赛采取单局制，排位赛采取三局两胜制。</w:t>
      </w:r>
    </w:p>
    <w:p>
      <w:pPr>
        <w:adjustRightInd w:val="0"/>
        <w:snapToGrid w:val="0"/>
        <w:spacing w:line="560" w:lineRule="exact"/>
        <w:ind w:firstLine="320" w:firstLineChars="100"/>
        <w:jc w:val="lef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>（1）小组赛：抽签决定分组，共分A、B两个小组，每小组前两名出线，具体分组对阵表在抽签完后会通知各院。决出4强进入淘汰赛。</w:t>
      </w:r>
    </w:p>
    <w:p>
      <w:pPr>
        <w:adjustRightInd w:val="0"/>
        <w:snapToGrid w:val="0"/>
        <w:spacing w:line="560" w:lineRule="exact"/>
        <w:ind w:firstLine="320" w:firstLineChars="100"/>
        <w:jc w:val="lef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>（2）排位赛：按照分组情况进行排位赛，Al Vs B2、B1 Vs A2决出胜负，进行冠军和季军的争夺。由于时间因素，A3、B3争夺第五名</w:t>
      </w:r>
      <w:r>
        <w:rPr>
          <w:rFonts w:hint="eastAsia" w:ascii="仿宋_GB2312" w:hAnsi="华文仿宋" w:eastAsia="仿宋_GB2312"/>
          <w:color w:val="000000"/>
          <w:szCs w:val="32"/>
          <w:lang w:eastAsia="zh-CN"/>
        </w:rPr>
        <w:t>，</w:t>
      </w:r>
      <w:r>
        <w:rPr>
          <w:rFonts w:hint="eastAsia" w:ascii="仿宋_GB2312" w:hAnsi="华文仿宋" w:eastAsia="仿宋_GB2312"/>
          <w:color w:val="000000"/>
          <w:szCs w:val="32"/>
        </w:rPr>
        <w:t>A4、B4争夺第七名</w:t>
      </w:r>
      <w:r>
        <w:rPr>
          <w:rFonts w:hint="eastAsia" w:ascii="仿宋_GB2312" w:hAnsi="华文仿宋" w:eastAsia="仿宋_GB2312"/>
          <w:color w:val="000000"/>
          <w:szCs w:val="32"/>
          <w:lang w:eastAsia="zh-CN"/>
        </w:rPr>
        <w:t>，</w:t>
      </w:r>
      <w:r>
        <w:rPr>
          <w:rFonts w:hint="eastAsia" w:ascii="仿宋_GB2312" w:hAnsi="华文仿宋" w:eastAsia="仿宋_GB2312"/>
          <w:color w:val="000000"/>
          <w:szCs w:val="32"/>
        </w:rPr>
        <w:t>A5、B5争夺第九名。如出现总队伍为单数的情况，则顺位排名末三位的队伍进行循环排位赛，如每支队伍皆一胜一负，则并列排名。</w:t>
      </w:r>
    </w:p>
    <w:p>
      <w:pPr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>2. 规则：</w:t>
      </w:r>
    </w:p>
    <w:p>
      <w:pPr>
        <w:adjustRightInd w:val="0"/>
        <w:snapToGrid w:val="0"/>
        <w:spacing w:line="560" w:lineRule="exact"/>
        <w:ind w:firstLine="320" w:firstLineChars="100"/>
        <w:jc w:val="lef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>（1）为一名学生和一名老师（男女不限）搭配组合参赛，采用21分制，即双方分数先达21分者胜。双方打到20平后，一方领先2分即算该局获胜；若双方打成29平后，一方领先1分，即算该局取胜。</w:t>
      </w:r>
    </w:p>
    <w:p>
      <w:pPr>
        <w:spacing w:line="448" w:lineRule="atLeast"/>
        <w:ind w:firstLine="320" w:firstLineChars="100"/>
        <w:jc w:val="left"/>
        <w:rPr>
          <w:rFonts w:hint="eastAsia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>（2）</w:t>
      </w:r>
      <w:r>
        <w:rPr>
          <w:rFonts w:hint="eastAsia"/>
          <w:szCs w:val="32"/>
        </w:rPr>
        <w:t>每场比赛开始前，由裁判丢球决定一方球员优先选择接发球或挑选场地（将羽毛球竖直上抛，球头朝向的一方优先选择）。</w:t>
      </w:r>
    </w:p>
    <w:p>
      <w:pPr>
        <w:adjustRightInd w:val="0"/>
        <w:snapToGrid w:val="0"/>
        <w:spacing w:line="560" w:lineRule="exact"/>
        <w:ind w:firstLine="320" w:firstLineChars="100"/>
        <w:jc w:val="left"/>
        <w:rPr>
          <w:rFonts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>（3）发球时，脚应在前场线之后，击球点应在腰部以下，落球点应在对角区；发球错区、接发球错接均判失分；</w:t>
      </w:r>
    </w:p>
    <w:p>
      <w:pPr>
        <w:adjustRightInd w:val="0"/>
        <w:snapToGrid w:val="0"/>
        <w:spacing w:line="560" w:lineRule="exact"/>
        <w:ind w:firstLine="320" w:firstLineChars="100"/>
        <w:jc w:val="lef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>（4）应等待双方球员均准备好后再发球，若未准备好，接发球的一方可举手示意（时间不得过长）；由得分的一方发球，得分为单数在左区发，得分为0和双数在右区发。</w:t>
      </w:r>
    </w:p>
    <w:p>
      <w:pPr>
        <w:adjustRightInd w:val="0"/>
        <w:snapToGrid w:val="0"/>
        <w:spacing w:line="560" w:lineRule="exact"/>
        <w:ind w:firstLine="320" w:firstLineChars="100"/>
        <w:jc w:val="lef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>（5）单打界线为侧边内线和后场外线，双打界线为侧边外线和后场外线；发球均需过前场发球线。</w:t>
      </w:r>
    </w:p>
    <w:p>
      <w:pPr>
        <w:adjustRightInd w:val="0"/>
        <w:snapToGrid w:val="0"/>
        <w:spacing w:line="560" w:lineRule="exact"/>
        <w:ind w:firstLine="320" w:firstLineChars="100"/>
        <w:jc w:val="lef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>（6）小组赛中，得分领先一方达到11分时交换场地；淘汰赛中，每局结束交换场地；每局比赛后可休息2分钟。</w:t>
      </w:r>
    </w:p>
    <w:p>
      <w:pPr>
        <w:adjustRightInd w:val="0"/>
        <w:snapToGrid w:val="0"/>
        <w:spacing w:line="560" w:lineRule="exact"/>
        <w:ind w:firstLine="320" w:firstLineChars="100"/>
        <w:jc w:val="lef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>（7）出界、落空、触网、双击、挂网、落地接球、球从网下穿过均判失分。</w:t>
      </w:r>
    </w:p>
    <w:p>
      <w:pPr>
        <w:adjustRightInd w:val="0"/>
        <w:snapToGrid w:val="0"/>
        <w:spacing w:line="560" w:lineRule="exact"/>
        <w:ind w:firstLine="320" w:firstLineChars="100"/>
        <w:jc w:val="lef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>（8）出现场上有干扰、落点有争议等特殊情况，该回合重新开始。</w:t>
      </w:r>
    </w:p>
    <w:p>
      <w:pPr>
        <w:adjustRightInd w:val="0"/>
        <w:snapToGrid w:val="0"/>
        <w:spacing w:line="560" w:lineRule="exact"/>
        <w:ind w:firstLine="320" w:firstLineChars="100"/>
        <w:jc w:val="lef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>（9）文明参赛，比赛中若出现球员受伤，裁判可根据具体情况暂停比赛；若出现恶意进攻等危险动作，裁判将对个人及队伍从重处罚。</w:t>
      </w:r>
    </w:p>
    <w:p>
      <w:pPr>
        <w:adjustRightInd w:val="0"/>
        <w:snapToGrid w:val="0"/>
        <w:spacing w:line="560" w:lineRule="exact"/>
        <w:ind w:firstLine="320" w:firstLineChars="100"/>
        <w:jc w:val="lef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>（10）其余比赛规则遵循国际惯例。</w:t>
      </w:r>
    </w:p>
    <w:p>
      <w:pPr>
        <w:adjustRightInd w:val="0"/>
        <w:snapToGrid w:val="0"/>
        <w:spacing w:line="560" w:lineRule="exact"/>
        <w:jc w:val="lef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>（二）定点投篮</w:t>
      </w:r>
    </w:p>
    <w:p>
      <w:pPr>
        <w:adjustRightInd w:val="0"/>
        <w:snapToGrid w:val="0"/>
        <w:spacing w:line="560" w:lineRule="exact"/>
        <w:ind w:firstLine="320" w:firstLineChars="100"/>
        <w:jc w:val="lef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 xml:space="preserve">1. 赛制： </w:t>
      </w:r>
    </w:p>
    <w:p>
      <w:pPr>
        <w:adjustRightInd w:val="0"/>
        <w:snapToGrid w:val="0"/>
        <w:spacing w:line="560" w:lineRule="exact"/>
        <w:jc w:val="lef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>（1）每队选取3人，进行定点投篮。</w:t>
      </w:r>
    </w:p>
    <w:p>
      <w:pPr>
        <w:adjustRightInd w:val="0"/>
        <w:snapToGrid w:val="0"/>
        <w:spacing w:line="560" w:lineRule="exact"/>
        <w:jc w:val="lef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>（2）以进球数量记分，每一点投1球，球进算1分，以3人总得分排名，如积分相同算作该项目名次并列。</w:t>
      </w:r>
    </w:p>
    <w:p>
      <w:pPr>
        <w:adjustRightInd w:val="0"/>
        <w:snapToGrid w:val="0"/>
        <w:spacing w:line="560" w:lineRule="exact"/>
        <w:ind w:firstLine="320" w:firstLineChars="100"/>
        <w:jc w:val="lef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 xml:space="preserve">2. 规则： </w:t>
      </w:r>
    </w:p>
    <w:p>
      <w:pPr>
        <w:adjustRightInd w:val="0"/>
        <w:snapToGrid w:val="0"/>
        <w:spacing w:line="560" w:lineRule="exact"/>
        <w:jc w:val="lef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>（1）</w:t>
      </w:r>
      <w:r>
        <w:rPr>
          <w:rFonts w:hint="eastAsia" w:ascii="仿宋_GB2312" w:hAnsi="华文仿宋" w:eastAsia="仿宋_GB2312"/>
          <w:color w:val="000000"/>
          <w:szCs w:val="32"/>
          <w:lang w:eastAsia="zh-CN"/>
        </w:rPr>
        <w:t>投篮定点在三秒区线上的7个点。</w:t>
      </w:r>
      <w:r>
        <w:rPr>
          <w:rFonts w:hint="eastAsia" w:ascii="仿宋_GB2312" w:hAnsi="华文仿宋" w:eastAsia="仿宋_GB2312"/>
          <w:color w:val="000000"/>
          <w:szCs w:val="32"/>
        </w:rPr>
        <w:t xml:space="preserve"> </w:t>
      </w:r>
    </w:p>
    <w:p>
      <w:pPr>
        <w:adjustRightInd w:val="0"/>
        <w:snapToGrid w:val="0"/>
        <w:spacing w:line="560" w:lineRule="exact"/>
        <w:jc w:val="lef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>（2）</w:t>
      </w:r>
      <w:r>
        <w:rPr>
          <w:rFonts w:hint="default" w:ascii="仿宋_GB2312" w:hAnsi="华文仿宋" w:eastAsia="仿宋_GB2312"/>
          <w:color w:val="000000"/>
          <w:szCs w:val="32"/>
        </w:rPr>
        <w:t>每人以三分钟为限，必须在时间内将球全部投完，超过时间则不计算。</w:t>
      </w:r>
    </w:p>
    <w:p>
      <w:pPr>
        <w:adjustRightInd w:val="0"/>
        <w:snapToGrid w:val="0"/>
        <w:spacing w:line="560" w:lineRule="exact"/>
        <w:jc w:val="lef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>（3）必须在投篮线后投球，若踩线或过线则不计算。</w:t>
      </w:r>
    </w:p>
    <w:p>
      <w:pPr>
        <w:adjustRightInd w:val="0"/>
        <w:snapToGrid w:val="0"/>
        <w:spacing w:line="560" w:lineRule="exact"/>
        <w:jc w:val="lef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 xml:space="preserve">（4）可以跳投。 </w:t>
      </w:r>
    </w:p>
    <w:p>
      <w:pPr>
        <w:adjustRightInd w:val="0"/>
        <w:snapToGrid w:val="0"/>
        <w:spacing w:line="560" w:lineRule="exact"/>
        <w:jc w:val="lef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>（5）若投篮时球从选手手中掉落，则算已出手，不可捡回再投，且不算成绩。投篮前允许拍球。</w:t>
      </w:r>
    </w:p>
    <w:p>
      <w:pPr>
        <w:adjustRightInd w:val="0"/>
        <w:snapToGrid w:val="0"/>
        <w:spacing w:line="560" w:lineRule="exact"/>
        <w:jc w:val="lef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>（7）若有规则上的问题，与裁判联系。</w:t>
      </w:r>
    </w:p>
    <w:p>
      <w:pPr>
        <w:adjustRightInd w:val="0"/>
        <w:snapToGrid w:val="0"/>
        <w:spacing w:line="560" w:lineRule="exact"/>
        <w:jc w:val="lef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>（三） 足球九宫格</w:t>
      </w:r>
    </w:p>
    <w:p>
      <w:pPr>
        <w:adjustRightInd w:val="0"/>
        <w:snapToGrid w:val="0"/>
        <w:spacing w:line="560" w:lineRule="exact"/>
        <w:ind w:firstLine="320" w:firstLineChars="100"/>
        <w:jc w:val="lef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 xml:space="preserve">1. 赛制： </w:t>
      </w:r>
    </w:p>
    <w:p>
      <w:pPr>
        <w:adjustRightInd w:val="0"/>
        <w:snapToGrid w:val="0"/>
        <w:spacing w:line="560" w:lineRule="exact"/>
        <w:jc w:val="lef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>（1）每队选取3人，每名成员有5次射门机会。</w:t>
      </w:r>
    </w:p>
    <w:p>
      <w:pPr>
        <w:adjustRightInd w:val="0"/>
        <w:snapToGrid w:val="0"/>
        <w:spacing w:line="560" w:lineRule="exact"/>
        <w:jc w:val="lef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>（2）以3人总得分确定排名，如积分相同算作该项目名次并列。</w:t>
      </w:r>
    </w:p>
    <w:p>
      <w:pPr>
        <w:adjustRightInd w:val="0"/>
        <w:snapToGrid w:val="0"/>
        <w:spacing w:line="560" w:lineRule="exact"/>
        <w:ind w:firstLine="320" w:firstLineChars="100"/>
        <w:jc w:val="lef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 xml:space="preserve">2. 规则： </w:t>
      </w:r>
    </w:p>
    <w:p>
      <w:pPr>
        <w:adjustRightInd w:val="0"/>
        <w:snapToGrid w:val="0"/>
        <w:spacing w:line="560" w:lineRule="exact"/>
        <w:jc w:val="lef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>（1）每队选取3人，每名成员有5次射门机会,足球门上的九个格的得分分别是上面三格5分、4分、5分;中间三格3分、2分、3分;下面三格1分、1分、1分。</w:t>
      </w:r>
    </w:p>
    <w:tbl>
      <w:tblPr>
        <w:tblStyle w:val="2"/>
        <w:tblW w:w="34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134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34" w:hRule="atLeast"/>
          <w:jc w:val="center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宋体" w:hAnsi="宋体"/>
                <w:sz w:val="28"/>
                <w:szCs w:val="36"/>
              </w:rPr>
            </w:pPr>
            <w:r>
              <w:rPr>
                <w:rFonts w:hint="eastAsia" w:ascii="宋体" w:hAnsi="宋体"/>
                <w:sz w:val="28"/>
                <w:szCs w:val="36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宋体" w:hAnsi="宋体"/>
                <w:sz w:val="28"/>
                <w:szCs w:val="36"/>
              </w:rPr>
            </w:pPr>
            <w:r>
              <w:rPr>
                <w:rFonts w:hint="eastAsia" w:ascii="宋体" w:hAnsi="宋体"/>
                <w:sz w:val="28"/>
                <w:szCs w:val="36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宋体" w:hAnsi="宋体"/>
                <w:sz w:val="28"/>
                <w:szCs w:val="36"/>
              </w:rPr>
            </w:pPr>
            <w:r>
              <w:rPr>
                <w:rFonts w:hint="eastAsia" w:ascii="宋体" w:hAnsi="宋体"/>
                <w:sz w:val="28"/>
                <w:szCs w:val="36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宋体" w:hAnsi="宋体"/>
                <w:sz w:val="28"/>
                <w:szCs w:val="36"/>
              </w:rPr>
            </w:pPr>
            <w:r>
              <w:rPr>
                <w:rFonts w:hint="eastAsia" w:ascii="宋体" w:hAnsi="宋体"/>
                <w:sz w:val="28"/>
                <w:szCs w:val="36"/>
              </w:rPr>
              <w:t>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宋体" w:hAnsi="宋体"/>
                <w:sz w:val="28"/>
                <w:szCs w:val="36"/>
              </w:rPr>
            </w:pPr>
            <w:r>
              <w:rPr>
                <w:rFonts w:hint="eastAsia" w:ascii="宋体" w:hAnsi="宋体"/>
                <w:sz w:val="28"/>
                <w:szCs w:val="36"/>
              </w:rPr>
              <w:t>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宋体" w:hAnsi="宋体"/>
                <w:sz w:val="28"/>
                <w:szCs w:val="36"/>
              </w:rPr>
            </w:pPr>
            <w:r>
              <w:rPr>
                <w:rFonts w:hint="eastAsia" w:ascii="宋体" w:hAnsi="宋体"/>
                <w:sz w:val="28"/>
                <w:szCs w:val="36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宋体" w:hAnsi="宋体"/>
                <w:sz w:val="28"/>
                <w:szCs w:val="36"/>
              </w:rPr>
            </w:pPr>
            <w:r>
              <w:rPr>
                <w:rFonts w:hint="eastAsia" w:ascii="宋体" w:hAnsi="宋体"/>
                <w:sz w:val="28"/>
                <w:szCs w:val="36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宋体" w:hAnsi="宋体"/>
                <w:sz w:val="28"/>
                <w:szCs w:val="36"/>
              </w:rPr>
            </w:pPr>
            <w:r>
              <w:rPr>
                <w:rFonts w:hint="eastAsia" w:ascii="宋体" w:hAnsi="宋体"/>
                <w:sz w:val="28"/>
                <w:szCs w:val="36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宋体" w:hAnsi="宋体"/>
                <w:sz w:val="28"/>
                <w:szCs w:val="36"/>
              </w:rPr>
            </w:pPr>
            <w:r>
              <w:rPr>
                <w:rFonts w:hint="eastAsia" w:ascii="宋体" w:hAnsi="宋体"/>
                <w:sz w:val="28"/>
                <w:szCs w:val="36"/>
              </w:rPr>
              <w:t>1</w:t>
            </w:r>
          </w:p>
        </w:tc>
      </w:tr>
    </w:tbl>
    <w:p>
      <w:pPr>
        <w:adjustRightInd w:val="0"/>
        <w:snapToGrid w:val="0"/>
        <w:spacing w:line="560" w:lineRule="exact"/>
        <w:jc w:val="lef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>（2）每个区域只许射一次，重复射门不得分。</w:t>
      </w:r>
    </w:p>
    <w:p>
      <w:pPr>
        <w:adjustRightInd w:val="0"/>
        <w:snapToGrid w:val="0"/>
        <w:spacing w:line="560" w:lineRule="exact"/>
        <w:jc w:val="lef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>（3）三个人五次射中的成绩总和为该组最终成绩，如积分相同算作名词并列。</w:t>
      </w:r>
    </w:p>
    <w:p>
      <w:pPr>
        <w:adjustRightInd w:val="0"/>
        <w:snapToGrid w:val="0"/>
        <w:spacing w:line="560" w:lineRule="exact"/>
        <w:jc w:val="lef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>（4）若有规则上的问题，与裁判联系。</w:t>
      </w:r>
    </w:p>
    <w:p>
      <w:pPr>
        <w:adjustRightInd w:val="0"/>
        <w:snapToGrid w:val="0"/>
        <w:spacing w:line="560" w:lineRule="exact"/>
        <w:jc w:val="lef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>（四） 拔河比赛</w:t>
      </w:r>
    </w:p>
    <w:p>
      <w:pPr>
        <w:adjustRightInd w:val="0"/>
        <w:snapToGrid w:val="0"/>
        <w:spacing w:line="560" w:lineRule="exact"/>
        <w:ind w:firstLine="320" w:firstLineChars="100"/>
        <w:jc w:val="lef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>1. 赛制：</w:t>
      </w:r>
    </w:p>
    <w:p>
      <w:pPr>
        <w:adjustRightInd w:val="0"/>
        <w:snapToGrid w:val="0"/>
        <w:spacing w:line="560" w:lineRule="exact"/>
        <w:jc w:val="lef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>（1）所有参赛队伍分为两支联队，抽签决定每支队伍所属联队，每支联队上场人数为20人，上场名额平均分配给各队伍。</w:t>
      </w:r>
    </w:p>
    <w:p>
      <w:pPr>
        <w:adjustRightInd w:val="0"/>
        <w:snapToGrid w:val="0"/>
        <w:spacing w:line="560" w:lineRule="exact"/>
        <w:jc w:val="lef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>（2）比赛采取一局决胜负制，胜方联队各加10分。</w:t>
      </w:r>
    </w:p>
    <w:p>
      <w:pPr>
        <w:adjustRightInd w:val="0"/>
        <w:snapToGrid w:val="0"/>
        <w:spacing w:line="560" w:lineRule="exact"/>
        <w:ind w:firstLine="320" w:firstLineChars="100"/>
        <w:jc w:val="lef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>2. 规则：</w:t>
      </w:r>
    </w:p>
    <w:p>
      <w:pPr>
        <w:adjustRightInd w:val="0"/>
        <w:snapToGrid w:val="0"/>
        <w:spacing w:line="560" w:lineRule="exact"/>
        <w:jc w:val="lef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>（1）在场地上画3条平行的短线，间隔2米，居中的为中线，两边的为界。拔河绳中间系一根红带子作为标志带，下面悬挂一重物垂直于中线。参赛的两队人数相等，同时上场。各队选一名指挥员，队员依次交错分别站在河界后拔河绳的两侧，裁判员发出“预备”口令，双方队员站好位置，拿起拔河绳，拉直做好准备。此时标志带应垂直于中线。待裁判鸣哨后，双方各自一齐用力拉绳，把标志带拉过本队河界的队为胜方。</w:t>
      </w:r>
    </w:p>
    <w:p>
      <w:pPr>
        <w:adjustRightInd w:val="0"/>
        <w:snapToGrid w:val="0"/>
        <w:spacing w:line="560" w:lineRule="exact"/>
        <w:jc w:val="lef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>（2）为保证比赛的安全，参赛队员一律不得穿钉鞋或赤脚参加比赛；可自备手套；裁判未判胜负前，手不能松开绳子。</w:t>
      </w:r>
    </w:p>
    <w:p>
      <w:pPr>
        <w:adjustRightInd w:val="0"/>
        <w:snapToGrid w:val="0"/>
        <w:spacing w:line="560" w:lineRule="exact"/>
        <w:jc w:val="lef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>六、裁判及监督人员</w:t>
      </w:r>
    </w:p>
    <w:p>
      <w:pPr>
        <w:adjustRightInd w:val="0"/>
        <w:snapToGrid w:val="0"/>
        <w:spacing w:line="560" w:lineRule="exact"/>
        <w:jc w:val="lef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 xml:space="preserve">     此次趣味运动会设1名总裁判；师生混合羽毛球赛设4名裁判；定点投篮、足球九宫格各1名裁判，4名积分员，1名计时员。</w:t>
      </w:r>
    </w:p>
    <w:p>
      <w:pPr>
        <w:adjustRightInd w:val="0"/>
        <w:snapToGrid w:val="0"/>
        <w:spacing w:line="560" w:lineRule="exact"/>
        <w:jc w:val="lef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>七、奖惩办法：</w:t>
      </w:r>
    </w:p>
    <w:p>
      <w:pPr>
        <w:adjustRightInd w:val="0"/>
        <w:snapToGrid w:val="0"/>
        <w:spacing w:line="560" w:lineRule="exact"/>
        <w:jc w:val="lef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>1.奖励：所有参赛队伍皆发放证书及奖品；</w:t>
      </w:r>
    </w:p>
    <w:p>
      <w:pPr>
        <w:adjustRightInd w:val="0"/>
        <w:snapToGrid w:val="0"/>
        <w:spacing w:line="560" w:lineRule="exact"/>
        <w:jc w:val="lef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>2.惩罚：比赛中如有不服从裁判判罚、辱骂等行为，取消个人剩余比赛参赛资格；如场上出现打架斗殴行为，则取消该队剩余比赛参赛资格；如有私下挑衅裁判或对方队员，则取消该队剩余比赛参赛资格。具体情况由主办方视情节而定。</w:t>
      </w:r>
    </w:p>
    <w:p>
      <w:pPr>
        <w:adjustRightInd w:val="0"/>
        <w:snapToGrid w:val="0"/>
        <w:spacing w:line="560" w:lineRule="exact"/>
        <w:jc w:val="lef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>八、赛前会议</w:t>
      </w:r>
    </w:p>
    <w:p>
      <w:pPr>
        <w:adjustRightInd w:val="0"/>
        <w:snapToGrid w:val="0"/>
        <w:spacing w:line="560" w:lineRule="exact"/>
        <w:jc w:val="lef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 xml:space="preserve">    2021年5月29日晚6：30在B14-107召开负责人会议，报到时需提交盖章的纸质报名表，不提交盖好章的纸质报名表的代表队视为不参赛（若有特使情况请及时说明），当天会根据报名队伍抽签分组。</w:t>
      </w:r>
    </w:p>
    <w:p>
      <w:pPr>
        <w:adjustRightInd w:val="0"/>
        <w:snapToGrid w:val="0"/>
        <w:spacing w:line="560" w:lineRule="exact"/>
        <w:jc w:val="lef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>九、未尽事宜，另行通知。</w:t>
      </w:r>
    </w:p>
    <w:p>
      <w:pPr>
        <w:adjustRightInd w:val="0"/>
        <w:snapToGrid w:val="0"/>
        <w:spacing w:line="560" w:lineRule="exact"/>
        <w:jc w:val="lef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>十、本次比赛规程最终解释权归南京中医药大学党委研工部。</w:t>
      </w:r>
    </w:p>
    <w:p>
      <w:pPr>
        <w:widowControl/>
        <w:adjustRightInd w:val="0"/>
        <w:snapToGrid w:val="0"/>
        <w:spacing w:line="360" w:lineRule="auto"/>
        <w:ind w:right="1488"/>
        <w:jc w:val="left"/>
        <w:rPr>
          <w:rFonts w:hint="eastAsia" w:ascii="仿宋_GB2312" w:hAnsi="宋体" w:eastAsia="仿宋_GB2312" w:cs="宋体"/>
          <w:color w:val="000000"/>
          <w:kern w:val="0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0D87247"/>
    <w:rsid w:val="668B0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</Company>
  <Pages>7</Pages>
  <Words>2430</Words>
  <Characters>2548</Characters>
  <Paragraphs>148</Paragraphs>
  <TotalTime>3</TotalTime>
  <ScaleCrop>false</ScaleCrop>
  <LinksUpToDate>false</LinksUpToDate>
  <CharactersWithSpaces>2590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2021-05-20T07:47:00Z</dcterms:created>
  <dc:creator>john</dc:creator>
  <cp:lastModifiedBy>205</cp:lastModifiedBy>
  <dcterms:modified xsi:type="dcterms:W3CDTF">2021-05-21T14:00:23Z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40ef89fe17bd4fc49d6430df2d52cba9</vt:lpwstr>
  </property>
  <property fmtid="{D5CDD505-2E9C-101B-9397-08002B2CF9AE}" pid="3" name="KSOProductBuildVer">
    <vt:lpwstr>2052-11.1.0.10356</vt:lpwstr>
  </property>
</Properties>
</file>