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29256">
      <w:pPr>
        <w:spacing w:before="0" w:after="240" w:line="360" w:lineRule="auto"/>
        <w:jc w:val="center"/>
        <w:rPr>
          <w:rFonts w:ascii="黑体" w:hAnsi="黑体" w:eastAsia="黑体" w:cs="黑体"/>
          <w:b/>
          <w:bCs/>
          <w:sz w:val="36"/>
          <w:szCs w:val="36"/>
        </w:rPr>
      </w:pPr>
      <w:r>
        <w:rPr>
          <w:rFonts w:ascii="黑体" w:hAnsi="黑体" w:eastAsia="黑体" w:cs="黑体"/>
          <w:b/>
          <w:bCs/>
          <w:sz w:val="36"/>
          <w:szCs w:val="36"/>
        </w:rPr>
        <w:t>2026级***</w:t>
      </w:r>
      <w:r>
        <w:rPr>
          <w:rFonts w:hint="eastAsia" w:ascii="黑体" w:hAnsi="黑体" w:eastAsia="黑体" w:cs="黑体"/>
          <w:b/>
          <w:bCs/>
          <w:sz w:val="36"/>
          <w:szCs w:val="36"/>
          <w:lang w:val="en-US" w:eastAsia="zh-CN"/>
        </w:rPr>
        <w:t>全日制专业</w:t>
      </w:r>
      <w:r>
        <w:rPr>
          <w:rFonts w:ascii="黑体" w:hAnsi="黑体" w:eastAsia="黑体" w:cs="黑体"/>
          <w:b/>
          <w:bCs/>
          <w:sz w:val="36"/>
          <w:szCs w:val="36"/>
        </w:rPr>
        <w:t>学术</w:t>
      </w:r>
      <w:r>
        <w:rPr>
          <w:rFonts w:hint="eastAsia" w:ascii="黑体" w:hAnsi="黑体" w:eastAsia="黑体" w:cs="黑体"/>
          <w:b/>
          <w:bCs/>
          <w:sz w:val="36"/>
          <w:szCs w:val="36"/>
          <w:lang w:val="en-US" w:eastAsia="zh-CN"/>
        </w:rPr>
        <w:t>学位硕/博士</w:t>
      </w:r>
      <w:r>
        <w:rPr>
          <w:rFonts w:ascii="黑体" w:hAnsi="黑体" w:eastAsia="黑体" w:cs="黑体"/>
          <w:b/>
          <w:bCs/>
          <w:sz w:val="36"/>
          <w:szCs w:val="36"/>
        </w:rPr>
        <w:t>研究生</w:t>
      </w:r>
    </w:p>
    <w:p w14:paraId="458D2380">
      <w:pPr>
        <w:spacing w:before="0" w:after="240" w:line="360" w:lineRule="auto"/>
        <w:jc w:val="center"/>
      </w:pPr>
      <w:r>
        <w:rPr>
          <w:rFonts w:ascii="黑体" w:hAnsi="黑体" w:eastAsia="黑体" w:cs="黑体"/>
          <w:b/>
          <w:bCs/>
          <w:sz w:val="36"/>
          <w:szCs w:val="36"/>
        </w:rPr>
        <w:t>培养方案</w:t>
      </w:r>
    </w:p>
    <w:p w14:paraId="7B2204EA">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（一级学科名称   代码   ）</w:t>
      </w:r>
    </w:p>
    <w:p w14:paraId="2C583EE1">
      <w:pPr>
        <w:spacing w:before="0" w:after="0"/>
      </w:pPr>
    </w:p>
    <w:p w14:paraId="7993E4D4">
      <w:pPr>
        <w:spacing w:before="240" w:after="120" w:line="360" w:lineRule="auto"/>
        <w:ind w:firstLine="0"/>
        <w:jc w:val="left"/>
      </w:pPr>
      <w:r>
        <w:rPr>
          <w:rFonts w:ascii="黑体" w:hAnsi="黑体" w:eastAsia="黑体" w:cs="黑体"/>
          <w:b/>
          <w:bCs/>
          <w:sz w:val="32"/>
          <w:szCs w:val="32"/>
        </w:rPr>
        <w:t>一、学科简介</w:t>
      </w:r>
    </w:p>
    <w:p w14:paraId="27A2A2FB">
      <w:pPr>
        <w:spacing w:before="0" w:after="60" w:line="360" w:lineRule="auto"/>
        <w:ind w:firstLine="480"/>
        <w:jc w:val="both"/>
      </w:pPr>
      <w:r>
        <w:rPr>
          <w:rFonts w:ascii="宋体" w:hAnsi="宋体" w:eastAsia="宋体" w:cs="宋体"/>
          <w:b w:val="0"/>
          <w:bCs w:val="0"/>
          <w:sz w:val="24"/>
          <w:szCs w:val="24"/>
        </w:rPr>
        <w:t>（概述本学科的发展历程、特色优势、师资力量、科研平台、科研成果、学术影响力等，不少于500字。）</w:t>
      </w:r>
    </w:p>
    <w:p w14:paraId="28C33A35">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应涵盖以下要素：①学科发展历程与建设基础；②特色优势与社会服务能力；③师资队伍结构与规模；④科研平台与学术团队建设情况；⑤近年科研重大项目与学术成果；⑥毕业生去向与社会评价。内容应真实准确、数据翔实，体现学术学位的科研创新导向和高层次创新人才培养特色。</w:t>
      </w:r>
    </w:p>
    <w:p w14:paraId="32DB5AA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本学科依托南京中医药大学XX学科（省级优势学科/重点学科），面向XX研究领域，培养……。现有导师XX人，建有省部级以上科研平台XX个，科研创新团队XX个……。近五年承担国家级项目XX项，发表高水平论文XX篇……。毕业生主要面向高校、科研机构、医疗机构就业……。</w:t>
      </w:r>
    </w:p>
    <w:p w14:paraId="7C6C8580">
      <w:pPr>
        <w:spacing w:before="40" w:after="80" w:line="320" w:lineRule="auto"/>
        <w:ind w:firstLine="480"/>
        <w:jc w:val="both"/>
        <w:rPr>
          <w:rFonts w:ascii="仿宋" w:hAnsi="仿宋" w:eastAsia="仿宋" w:cs="仿宋"/>
          <w:color w:val="404040"/>
          <w:sz w:val="21"/>
          <w:szCs w:val="21"/>
        </w:rPr>
      </w:pPr>
    </w:p>
    <w:p w14:paraId="79059673">
      <w:pPr>
        <w:spacing w:before="240" w:after="120" w:line="360" w:lineRule="auto"/>
        <w:ind w:firstLine="0"/>
        <w:jc w:val="left"/>
      </w:pPr>
      <w:r>
        <w:rPr>
          <w:rFonts w:ascii="黑体" w:hAnsi="黑体" w:eastAsia="黑体" w:cs="黑体"/>
          <w:b/>
          <w:bCs/>
          <w:sz w:val="32"/>
          <w:szCs w:val="32"/>
        </w:rPr>
        <w:t>二、培养目标</w:t>
      </w:r>
    </w:p>
    <w:p w14:paraId="2DA4D5AF">
      <w:pPr>
        <w:spacing w:before="0" w:after="60" w:line="360" w:lineRule="auto"/>
        <w:ind w:firstLine="480"/>
        <w:jc w:val="both"/>
      </w:pPr>
      <w:r>
        <w:rPr>
          <w:rFonts w:ascii="宋体" w:hAnsi="宋体" w:eastAsia="宋体" w:cs="宋体"/>
          <w:b w:val="0"/>
          <w:bCs w:val="0"/>
          <w:sz w:val="24"/>
          <w:szCs w:val="24"/>
        </w:rPr>
        <w:t>（依据学术学位总体培养目标，结合本学科实际，明确培养定位、总体目标和具体要求。）</w:t>
      </w:r>
    </w:p>
    <w:p w14:paraId="36D3A44B">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应包含以下内容：①总体目标——培养掌握坚实宽广的基础理论和系统深入的专门知识、具有独立从事科学研究能力、能在科学或专门技术上做出创造性成果的高层次创新人才；②具体要求——从思想政治素质、基础理论与专门知识、科研创新能力、学术交流能力、外国语能力等五个方面分条目表述；③应体现本学科的学术前沿导向和创新发展要求，与专业学位培养目标有明确区分。</w:t>
      </w:r>
    </w:p>
    <w:p w14:paraId="1D87D42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培养具备良好的政治思想素质和学术道德修养，掌握本学科坚实宽广的基础理论和系统深入的专门知识，具有独立从事科学研究工作的能力，能够在科学或专门技术上做出创造性成果，具备国际视野和家国情怀的高级中医药专门人才。具体要求：（一）掌握马克思主义基本原理……；（二）掌握本学科坚实宽广的基础理论和系统深入的专门知识……；（三）具有独立从事科学研究的能力……；（四）熟练掌握一门外国语……；（五）具有严谨的治学态度和团队合作能力……。</w:t>
      </w:r>
    </w:p>
    <w:p w14:paraId="4F178CFF">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w:t>
      </w:r>
      <w:r>
        <w:rPr>
          <w:rFonts w:hint="eastAsia" w:ascii="仿宋" w:hAnsi="仿宋" w:eastAsia="仿宋" w:cs="仿宋"/>
          <w:color w:val="404040"/>
          <w:sz w:val="21"/>
          <w:szCs w:val="21"/>
          <w:lang w:eastAsia="zh-CN"/>
        </w:rPr>
        <w:t>《南京中医药大学学术学位研究生培养方案制（修）定指导意见》</w:t>
      </w:r>
      <w:r>
        <w:rPr>
          <w:rFonts w:ascii="仿宋" w:hAnsi="仿宋" w:eastAsia="仿宋" w:cs="仿宋"/>
          <w:color w:val="404040"/>
          <w:sz w:val="21"/>
          <w:szCs w:val="21"/>
        </w:rPr>
        <w:t>；2.教育部《研究生教育学科专业简介及其学位基本要求（试行版）》；3.《关于深入推进学术学位与专业学位教育分类发展的意见》（教研〔2023〕2号）。</w:t>
      </w:r>
    </w:p>
    <w:p w14:paraId="4AC0854F">
      <w:pPr>
        <w:spacing w:before="0" w:after="0"/>
      </w:pPr>
    </w:p>
    <w:p w14:paraId="2ADBE202">
      <w:pPr>
        <w:spacing w:before="240" w:after="120" w:line="360" w:lineRule="auto"/>
        <w:ind w:firstLine="0"/>
        <w:jc w:val="left"/>
        <w:rPr>
          <w:rFonts w:hint="default" w:eastAsia="黑体"/>
          <w:lang w:val="en-US" w:eastAsia="zh-CN"/>
        </w:rPr>
      </w:pPr>
      <w:r>
        <w:rPr>
          <w:rFonts w:ascii="黑体" w:hAnsi="黑体" w:eastAsia="黑体" w:cs="黑体"/>
          <w:b/>
          <w:bCs/>
          <w:sz w:val="32"/>
          <w:szCs w:val="32"/>
        </w:rPr>
        <w:t>三、研究方向</w:t>
      </w:r>
    </w:p>
    <w:p w14:paraId="22DDAE42">
      <w:pPr>
        <w:spacing w:before="0" w:after="60" w:line="360" w:lineRule="auto"/>
        <w:ind w:firstLine="480"/>
        <w:jc w:val="both"/>
      </w:pPr>
      <w:r>
        <w:rPr>
          <w:rFonts w:ascii="宋体" w:hAnsi="宋体" w:eastAsia="宋体" w:cs="宋体"/>
          <w:b w:val="0"/>
          <w:bCs w:val="0"/>
          <w:sz w:val="24"/>
          <w:szCs w:val="24"/>
        </w:rPr>
        <w:t>（列出本学科下设的主要研究方向，说明各方向的研究内容、特色与优势。）</w:t>
      </w:r>
    </w:p>
    <w:p w14:paraId="5D43F35F">
      <w:pPr>
        <w:spacing w:before="60" w:after="80" w:line="320" w:lineRule="auto"/>
        <w:ind w:firstLine="480"/>
        <w:jc w:val="both"/>
        <w:rPr>
          <w:rFonts w:hint="eastAsia" w:ascii="仿宋" w:hAnsi="仿宋" w:eastAsia="仿宋" w:cs="仿宋"/>
          <w:color w:val="404040"/>
          <w:sz w:val="21"/>
          <w:szCs w:val="21"/>
          <w:lang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研究方向设置应与国务院学位委员会学科专业目录中的二级学科方向一致或相符；②每个方向应有明确的研究内容描述（不少于100字/方向），突出学术前沿性和创新性；③应说明各方向的特色优势、导师队伍、主要科研平台等支撑条件。</w:t>
      </w:r>
    </w:p>
    <w:p w14:paraId="5E26CCC3">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
研究方向一：XX（研究方向名称）
主要研究内容：……。特色优势：……。导师队伍：XX人，其中教授XX人。科研平台：XX重点实验室（省部级/校级）。
研究方向二：XX（研究方向名称）
……</w:t>
      </w:r>
    </w:p>
    <w:p w14:paraId="67AD0A23">
      <w:pPr>
        <w:spacing w:before="40" w:after="80" w:line="320" w:lineRule="auto"/>
        <w:ind w:firstLine="480"/>
        <w:jc w:val="both"/>
        <w:rPr>
          <w:rFonts w:ascii="仿宋" w:hAnsi="仿宋" w:eastAsia="仿宋" w:cs="仿宋"/>
          <w:color w:val="404040"/>
          <w:sz w:val="21"/>
          <w:szCs w:val="21"/>
        </w:rPr>
      </w:pPr>
    </w:p>
    <w:p w14:paraId="0852D732">
      <w:pPr>
        <w:spacing w:before="240" w:after="120" w:line="360" w:lineRule="auto"/>
        <w:ind w:firstLine="0"/>
        <w:jc w:val="left"/>
      </w:pPr>
      <w:r>
        <w:rPr>
          <w:rFonts w:hint="eastAsia" w:ascii="黑体" w:hAnsi="黑体" w:eastAsia="黑体" w:cs="黑体"/>
          <w:b/>
          <w:bCs/>
          <w:sz w:val="32"/>
          <w:szCs w:val="32"/>
          <w:lang w:val="en-US" w:eastAsia="zh-CN"/>
        </w:rPr>
        <w:t>四、培养方式</w:t>
      </w:r>
    </w:p>
    <w:p w14:paraId="38FBD7B3">
      <w:pPr>
        <w:spacing w:before="0" w:after="60" w:line="360" w:lineRule="auto"/>
        <w:ind w:firstLine="480"/>
        <w:jc w:val="both"/>
      </w:pPr>
      <w:r>
        <w:rPr>
          <w:rFonts w:ascii="宋体" w:hAnsi="宋体" w:eastAsia="宋体" w:cs="宋体"/>
          <w:b w:val="0"/>
          <w:bCs w:val="0"/>
          <w:sz w:val="24"/>
          <w:szCs w:val="24"/>
        </w:rPr>
        <w:t>（明确培养方式，包括导师负责制、导师组指导、科教融合等；同时明确学制与学习年限。）</w:t>
      </w:r>
    </w:p>
    <w:p w14:paraId="1294D1EE">
      <w:pPr>
        <w:spacing w:before="60" w:after="80" w:line="320" w:lineRule="auto"/>
        <w:ind w:firstLine="480"/>
        <w:jc w:val="both"/>
        <w:rPr>
          <w:rFonts w:hint="eastAsia" w:ascii="仿宋" w:hAnsi="仿宋" w:eastAsia="仿宋" w:cs="仿宋"/>
          <w:color w:val="404040"/>
          <w:sz w:val="21"/>
          <w:szCs w:val="21"/>
          <w:lang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应明确实行导师负责制——导师为第一责任人，负责培养计划制定、科研指导和学术训练；②应说明导师组指导机制，鼓励跨学科导师组联合指导；③应说明培养过程采取课程学习、文献研读、科研实践、学术交流、学位论文相结合的方式；④应体现科教融合，鼓励研究生参与国家级重大科研项目；⑤应说明产学研协同创新机制</w:t>
      </w:r>
      <w:r>
        <w:rPr>
          <w:rFonts w:hint="eastAsia" w:ascii="仿宋" w:hAnsi="仿宋" w:eastAsia="仿宋" w:cs="仿宋"/>
          <w:color w:val="404040"/>
          <w:sz w:val="21"/>
          <w:szCs w:val="21"/>
          <w:lang w:eastAsia="zh-CN"/>
        </w:rPr>
        <w:t>。</w:t>
      </w:r>
    </w:p>
    <w:p w14:paraId="7CB030CC">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采用全日制培养方式，实行导师负责制。导师为研究生培养的第一责任人，负责培养计划制定、科研指导和学术训练。鼓励成立导师组进行联合指导，支持跨学科交叉培养。培养过程采取课程学习、文献研读、科研实践、学术交流和学位论文相结合的方式，注重科教融合，鼓励研究生参与导师承担的国家级、省部级重大科研项目，在科研实践中提升创新能力和攻关能力。</w:t>
      </w:r>
    </w:p>
    <w:p w14:paraId="4B40A755">
      <w:pPr>
        <w:spacing w:before="40" w:after="80" w:line="320" w:lineRule="auto"/>
        <w:ind w:firstLine="480"/>
        <w:jc w:val="both"/>
        <w:rPr>
          <w:rFonts w:hint="eastAsia" w:eastAsia="仿宋"/>
          <w:lang w:eastAsia="zh-CN"/>
        </w:rPr>
      </w:pPr>
      <w:r>
        <w:rPr>
          <w:rFonts w:ascii="黑体" w:hAnsi="黑体" w:eastAsia="黑体" w:cs="黑体"/>
          <w:b/>
          <w:bCs/>
          <w:color w:val="0070C0"/>
          <w:sz w:val="21"/>
          <w:szCs w:val="21"/>
        </w:rPr>
        <w:t>【参考文件】</w:t>
      </w:r>
      <w:r>
        <w:rPr>
          <w:rFonts w:hint="eastAsia" w:ascii="仿宋" w:hAnsi="仿宋" w:eastAsia="仿宋" w:cs="仿宋"/>
          <w:color w:val="404040"/>
          <w:sz w:val="21"/>
          <w:szCs w:val="21"/>
          <w:lang w:eastAsia="zh-CN"/>
        </w:rPr>
        <w:t>《南京中医药大学学术学位研究生培养方案制（修）定指导意见》</w:t>
      </w:r>
      <w:r>
        <w:rPr>
          <w:rFonts w:hint="eastAsia" w:ascii="黑体" w:hAnsi="黑体" w:eastAsia="黑体" w:cs="黑体"/>
          <w:b/>
          <w:bCs/>
          <w:color w:val="0070C0"/>
          <w:sz w:val="21"/>
          <w:szCs w:val="21"/>
          <w:lang w:eastAsia="zh-CN"/>
        </w:rPr>
        <w:t>。</w:t>
      </w:r>
    </w:p>
    <w:p w14:paraId="29D597F2">
      <w:pPr>
        <w:spacing w:before="0" w:after="0"/>
      </w:pPr>
    </w:p>
    <w:p w14:paraId="2B58EB62">
      <w:pPr>
        <w:spacing w:before="240" w:after="120" w:line="360" w:lineRule="auto"/>
        <w:ind w:firstLine="0"/>
        <w:jc w:val="left"/>
      </w:pPr>
      <w:r>
        <w:rPr>
          <w:rFonts w:hint="eastAsia" w:ascii="黑体" w:hAnsi="黑体" w:eastAsia="黑体" w:cs="黑体"/>
          <w:b/>
          <w:bCs/>
          <w:sz w:val="32"/>
          <w:szCs w:val="32"/>
          <w:lang w:val="en-US" w:eastAsia="zh-CN"/>
        </w:rPr>
        <w:t>五</w:t>
      </w:r>
      <w:r>
        <w:rPr>
          <w:rFonts w:ascii="黑体" w:hAnsi="黑体" w:eastAsia="黑体" w:cs="黑体"/>
          <w:b/>
          <w:bCs/>
          <w:sz w:val="32"/>
          <w:szCs w:val="32"/>
        </w:rPr>
        <w:t>、培养环节</w:t>
      </w:r>
    </w:p>
    <w:p w14:paraId="302398E0">
      <w:pPr>
        <w:spacing w:before="180" w:after="120" w:line="360" w:lineRule="auto"/>
        <w:ind w:firstLine="0"/>
        <w:jc w:val="left"/>
        <w:rPr>
          <w:rFonts w:ascii="黑体" w:hAnsi="黑体" w:eastAsia="黑体" w:cs="黑体"/>
          <w:b/>
          <w:bCs/>
          <w:sz w:val="28"/>
          <w:szCs w:val="28"/>
        </w:rPr>
      </w:pPr>
      <w:r>
        <w:rPr>
          <w:rFonts w:ascii="黑体" w:hAnsi="黑体" w:eastAsia="黑体" w:cs="黑体"/>
          <w:b/>
          <w:bCs/>
          <w:sz w:val="28"/>
          <w:szCs w:val="28"/>
        </w:rPr>
        <w:t>1. 课程学习</w:t>
      </w:r>
    </w:p>
    <w:p w14:paraId="16987969">
      <w:pPr>
        <w:spacing w:before="180" w:after="120" w:line="360" w:lineRule="auto"/>
        <w:ind w:firstLine="0"/>
        <w:jc w:val="left"/>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（课程方案单独附后，每年经论证后可进行动态调整。）</w:t>
      </w:r>
    </w:p>
    <w:p w14:paraId="7134EC1A">
      <w:pPr>
        <w:spacing w:before="0" w:after="60" w:line="360" w:lineRule="auto"/>
        <w:ind w:firstLine="480"/>
        <w:jc w:val="both"/>
      </w:pPr>
      <w:r>
        <w:rPr>
          <w:rFonts w:hint="eastAsia" w:cs="宋体"/>
          <w:b w:val="0"/>
          <w:bCs w:val="0"/>
          <w:sz w:val="24"/>
          <w:szCs w:val="24"/>
          <w:lang w:val="en-US" w:eastAsia="zh-CN"/>
        </w:rPr>
        <w:t>需列出本学科课程设置表，明确课程类别、课程性质、学分要求等。</w:t>
      </w:r>
    </w:p>
    <w:p w14:paraId="5C31E66B">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课程类别应涵盖"核心课程、方向课程、跨学科课程、前沿课程"等；②学位课包括公共必修课（政治课、外语课等）、专业基础课、专业课（按方向设置）；③非学位课为选修课，应含跨学科课程和前沿课程；④总学分要求应不低于国家规定和学校基本要求</w:t>
      </w:r>
      <w:r>
        <w:rPr>
          <w:rFonts w:ascii="仿宋" w:hAnsi="仿宋" w:eastAsia="仿宋" w:cs="仿宋"/>
          <w:color w:val="auto"/>
          <w:sz w:val="21"/>
          <w:szCs w:val="21"/>
        </w:rPr>
        <w:t>（</w:t>
      </w:r>
      <w:r>
        <w:rPr>
          <w:rFonts w:hint="eastAsia" w:ascii="仿宋" w:hAnsi="仿宋" w:eastAsia="仿宋" w:cs="仿宋"/>
          <w:color w:val="auto"/>
          <w:sz w:val="21"/>
          <w:szCs w:val="21"/>
          <w:lang w:val="en-US" w:eastAsia="zh-CN"/>
        </w:rPr>
        <w:t>硕士建议20-30</w:t>
      </w:r>
      <w:r>
        <w:rPr>
          <w:rFonts w:ascii="仿宋" w:hAnsi="仿宋" w:eastAsia="仿宋" w:cs="仿宋"/>
          <w:color w:val="auto"/>
          <w:sz w:val="21"/>
          <w:szCs w:val="21"/>
        </w:rPr>
        <w:t>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博士建议15-20学分</w:t>
      </w:r>
      <w:r>
        <w:rPr>
          <w:rFonts w:ascii="仿宋" w:hAnsi="仿宋" w:eastAsia="仿宋" w:cs="仿宋"/>
          <w:color w:val="auto"/>
          <w:sz w:val="21"/>
          <w:szCs w:val="21"/>
        </w:rPr>
        <w:t>）</w:t>
      </w:r>
      <w:r>
        <w:rPr>
          <w:rFonts w:ascii="仿宋" w:hAnsi="仿宋" w:eastAsia="仿宋" w:cs="仿宋"/>
          <w:color w:val="404040"/>
          <w:sz w:val="21"/>
          <w:szCs w:val="21"/>
        </w:rPr>
        <w:t>；⑤课程内容应体现学科前沿动态，注重方法论训练和批判性思维培养；⑥注明各课程的开课学期、学时学分对应关系。</w:t>
      </w:r>
    </w:p>
    <w:p w14:paraId="16CEB836">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1.《南京中医药大学研究生课程教学管理办法》；2.教育部《学术学位研究生核心课程指南（试行）》；3.</w:t>
      </w:r>
      <w:r>
        <w:rPr>
          <w:rFonts w:hint="eastAsia" w:ascii="仿宋" w:hAnsi="仿宋" w:eastAsia="仿宋" w:cs="仿宋"/>
          <w:color w:val="404040"/>
          <w:sz w:val="21"/>
          <w:szCs w:val="21"/>
          <w:lang w:eastAsia="zh-CN"/>
        </w:rPr>
        <w:t>《南京中医药大学学术学位研究生培养方案制（修）定指导意见》</w:t>
      </w:r>
      <w:r>
        <w:rPr>
          <w:rFonts w:ascii="仿宋" w:hAnsi="仿宋" w:eastAsia="仿宋" w:cs="仿宋"/>
          <w:color w:val="404040"/>
          <w:sz w:val="21"/>
          <w:szCs w:val="21"/>
        </w:rPr>
        <w:t>。</w:t>
      </w:r>
    </w:p>
    <w:p w14:paraId="5220953B">
      <w:pPr>
        <w:spacing w:before="180" w:after="120" w:line="360" w:lineRule="auto"/>
        <w:ind w:firstLine="0"/>
        <w:jc w:val="left"/>
      </w:pPr>
      <w:r>
        <w:rPr>
          <w:rFonts w:hint="eastAsia" w:ascii="黑体" w:hAnsi="黑体" w:eastAsia="黑体" w:cs="黑体"/>
          <w:b/>
          <w:bCs/>
          <w:sz w:val="28"/>
          <w:szCs w:val="28"/>
          <w:lang w:val="en-US" w:eastAsia="zh-CN"/>
        </w:rPr>
        <w:t>2. 学术交流</w:t>
      </w:r>
    </w:p>
    <w:p w14:paraId="56390CD6">
      <w:pPr>
        <w:spacing w:before="0" w:after="60" w:line="360" w:lineRule="auto"/>
        <w:ind w:firstLine="480"/>
        <w:jc w:val="both"/>
      </w:pPr>
      <w:r>
        <w:rPr>
          <w:rFonts w:ascii="宋体" w:hAnsi="宋体" w:eastAsia="宋体" w:cs="宋体"/>
          <w:b w:val="0"/>
          <w:bCs w:val="0"/>
          <w:sz w:val="24"/>
          <w:szCs w:val="24"/>
        </w:rPr>
        <w:t>（明确学术交流的次数、方式及效果；学分获得的要求。）</w:t>
      </w:r>
    </w:p>
    <w:p w14:paraId="0DAA8C8C">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①应明确研究生在学期间参加学术活动的最低次数要求（一般不少于</w:t>
      </w:r>
      <w:r>
        <w:rPr>
          <w:rFonts w:hint="eastAsia" w:ascii="仿宋" w:hAnsi="仿宋" w:eastAsia="仿宋" w:cs="仿宋"/>
          <w:color w:val="404040"/>
          <w:sz w:val="21"/>
          <w:szCs w:val="21"/>
          <w:lang w:val="en-US" w:eastAsia="zh-CN"/>
        </w:rPr>
        <w:t>6</w:t>
      </w:r>
      <w:r>
        <w:rPr>
          <w:rFonts w:ascii="仿宋" w:hAnsi="仿宋" w:eastAsia="仿宋" w:cs="仿宋"/>
          <w:color w:val="404040"/>
          <w:sz w:val="21"/>
          <w:szCs w:val="21"/>
        </w:rPr>
        <w:t>次）；②方式可包括：参加国内外学术会议、学术沙龙、学术报告、专题讲座等；③</w:t>
      </w:r>
      <w:r>
        <w:rPr>
          <w:rFonts w:hint="eastAsia" w:ascii="仿宋" w:hAnsi="仿宋" w:eastAsia="仿宋" w:cs="仿宋"/>
          <w:color w:val="404040"/>
          <w:sz w:val="21"/>
          <w:szCs w:val="21"/>
          <w:lang w:val="en-US" w:eastAsia="zh-CN"/>
        </w:rPr>
        <w:t>博士</w:t>
      </w:r>
      <w:r>
        <w:rPr>
          <w:rFonts w:ascii="仿宋" w:hAnsi="仿宋" w:eastAsia="仿宋" w:cs="仿宋"/>
          <w:color w:val="404040"/>
          <w:sz w:val="21"/>
          <w:szCs w:val="21"/>
        </w:rPr>
        <w:t>研究生</w:t>
      </w:r>
      <w:r>
        <w:rPr>
          <w:rFonts w:hint="eastAsia" w:ascii="仿宋" w:hAnsi="仿宋" w:eastAsia="仿宋" w:cs="仿宋"/>
          <w:color w:val="404040"/>
          <w:sz w:val="21"/>
          <w:szCs w:val="21"/>
          <w:lang w:val="en-US" w:eastAsia="zh-CN"/>
        </w:rPr>
        <w:t>还应作</w:t>
      </w:r>
      <w:r>
        <w:rPr>
          <w:rFonts w:ascii="仿宋" w:hAnsi="仿宋" w:eastAsia="仿宋" w:cs="仿宋"/>
          <w:color w:val="404040"/>
          <w:sz w:val="21"/>
          <w:szCs w:val="21"/>
        </w:rPr>
        <w:t>学术报告（口头报告或</w:t>
      </w:r>
      <w:r>
        <w:rPr>
          <w:rFonts w:hint="eastAsia" w:ascii="仿宋" w:hAnsi="仿宋" w:eastAsia="仿宋" w:cs="仿宋"/>
          <w:color w:val="404040"/>
          <w:sz w:val="21"/>
          <w:szCs w:val="21"/>
          <w:lang w:val="en-US" w:eastAsia="zh-CN"/>
        </w:rPr>
        <w:t>壁报</w:t>
      </w:r>
      <w:r>
        <w:rPr>
          <w:rFonts w:ascii="仿宋" w:hAnsi="仿宋" w:eastAsia="仿宋" w:cs="仿宋"/>
          <w:color w:val="404040"/>
          <w:sz w:val="21"/>
          <w:szCs w:val="21"/>
        </w:rPr>
        <w:t>展示）</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至少1次省级及以上学术报告</w:t>
      </w:r>
      <w:r>
        <w:rPr>
          <w:rFonts w:ascii="仿宋" w:hAnsi="仿宋" w:eastAsia="仿宋" w:cs="仿宋"/>
          <w:color w:val="404040"/>
          <w:sz w:val="21"/>
          <w:szCs w:val="21"/>
        </w:rPr>
        <w:t>；④应说明学分认定标准——参加活动需提供证明材料，经导师确认后认定学分</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满足最低次数要求认定1学分，完成学术报告认定1学分</w:t>
      </w:r>
      <w:r>
        <w:rPr>
          <w:rFonts w:ascii="仿宋" w:hAnsi="仿宋" w:eastAsia="仿宋" w:cs="仿宋"/>
          <w:color w:val="404040"/>
          <w:sz w:val="21"/>
          <w:szCs w:val="21"/>
        </w:rPr>
        <w:t>；</w:t>
      </w:r>
      <w:r>
        <w:rPr>
          <w:rFonts w:hint="eastAsia" w:ascii="仿宋" w:hAnsi="仿宋" w:eastAsia="仿宋" w:cs="仿宋"/>
          <w:color w:val="404040"/>
          <w:sz w:val="21"/>
          <w:szCs w:val="21"/>
          <w:lang w:val="en-US" w:eastAsia="zh-CN"/>
        </w:rPr>
        <w:t>硕士至少完成1学分，博士2学分；</w:t>
      </w:r>
      <w:r>
        <w:rPr>
          <w:rFonts w:ascii="仿宋" w:hAnsi="仿宋" w:eastAsia="仿宋" w:cs="仿宋"/>
          <w:color w:val="404040"/>
          <w:sz w:val="21"/>
          <w:szCs w:val="21"/>
        </w:rPr>
        <w:t>⑤鼓励研究生参加国际学术交流。</w:t>
      </w:r>
    </w:p>
    <w:p w14:paraId="300B3ED7">
      <w:pPr>
        <w:spacing w:before="40" w:after="80" w:line="320" w:lineRule="auto"/>
        <w:ind w:firstLine="480"/>
        <w:jc w:val="both"/>
        <w:rPr>
          <w:rFonts w:ascii="仿宋" w:hAnsi="仿宋" w:eastAsia="仿宋" w:cs="仿宋"/>
          <w:color w:val="auto"/>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ascii="仿宋" w:hAnsi="仿宋" w:eastAsia="仿宋" w:cs="仿宋"/>
          <w:color w:val="auto"/>
          <w:sz w:val="21"/>
          <w:szCs w:val="21"/>
        </w:rPr>
        <w:t>研究生在学期间应参加不少于</w:t>
      </w:r>
      <w:r>
        <w:rPr>
          <w:rFonts w:hint="eastAsia" w:ascii="仿宋" w:hAnsi="仿宋" w:eastAsia="仿宋" w:cs="仿宋"/>
          <w:color w:val="auto"/>
          <w:sz w:val="21"/>
          <w:szCs w:val="21"/>
          <w:lang w:val="en-US" w:eastAsia="zh-CN"/>
        </w:rPr>
        <w:t>6</w:t>
      </w:r>
      <w:r>
        <w:rPr>
          <w:rFonts w:ascii="仿宋" w:hAnsi="仿宋" w:eastAsia="仿宋" w:cs="仿宋"/>
          <w:color w:val="auto"/>
          <w:sz w:val="21"/>
          <w:szCs w:val="21"/>
        </w:rPr>
        <w:t>次学术交流活动，</w:t>
      </w:r>
      <w:r>
        <w:rPr>
          <w:rFonts w:hint="eastAsia" w:ascii="仿宋" w:hAnsi="仿宋" w:eastAsia="仿宋" w:cs="仿宋"/>
          <w:color w:val="auto"/>
          <w:sz w:val="21"/>
          <w:szCs w:val="21"/>
          <w:lang w:val="en-US" w:eastAsia="zh-CN"/>
        </w:rPr>
        <w:t>方式为参加</w:t>
      </w:r>
      <w:r>
        <w:rPr>
          <w:rFonts w:ascii="仿宋" w:hAnsi="仿宋" w:eastAsia="仿宋" w:cs="仿宋"/>
          <w:color w:val="auto"/>
          <w:sz w:val="21"/>
          <w:szCs w:val="21"/>
        </w:rPr>
        <w:t>国内外学术会议、学术沙龙、学术报告、专题讲座等</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博士研究生应至少完成</w:t>
      </w:r>
      <w:r>
        <w:rPr>
          <w:rFonts w:ascii="仿宋" w:hAnsi="仿宋" w:eastAsia="仿宋" w:cs="仿宋"/>
          <w:color w:val="auto"/>
          <w:sz w:val="21"/>
          <w:szCs w:val="21"/>
        </w:rPr>
        <w:t>1次</w:t>
      </w:r>
      <w:r>
        <w:rPr>
          <w:rFonts w:hint="eastAsia" w:ascii="仿宋" w:hAnsi="仿宋" w:eastAsia="仿宋" w:cs="仿宋"/>
          <w:color w:val="auto"/>
          <w:sz w:val="21"/>
          <w:szCs w:val="21"/>
          <w:lang w:val="en-US" w:eastAsia="zh-CN"/>
        </w:rPr>
        <w:t>省级及以上</w:t>
      </w:r>
      <w:r>
        <w:rPr>
          <w:rFonts w:ascii="仿宋" w:hAnsi="仿宋" w:eastAsia="仿宋" w:cs="仿宋"/>
          <w:color w:val="auto"/>
          <w:sz w:val="21"/>
          <w:szCs w:val="21"/>
        </w:rPr>
        <w:t>学术报告</w:t>
      </w:r>
      <w:r>
        <w:rPr>
          <w:rFonts w:hint="eastAsia" w:ascii="仿宋" w:hAnsi="仿宋" w:eastAsia="仿宋" w:cs="仿宋"/>
          <w:color w:val="auto"/>
          <w:sz w:val="21"/>
          <w:szCs w:val="21"/>
          <w:lang w:eastAsia="zh-CN"/>
        </w:rPr>
        <w:t>（</w:t>
      </w:r>
      <w:r>
        <w:rPr>
          <w:rFonts w:ascii="仿宋" w:hAnsi="仿宋" w:eastAsia="仿宋" w:cs="仿宋"/>
          <w:color w:val="auto"/>
          <w:sz w:val="21"/>
          <w:szCs w:val="21"/>
        </w:rPr>
        <w:t>口头报告或</w:t>
      </w:r>
      <w:r>
        <w:rPr>
          <w:rFonts w:hint="eastAsia" w:ascii="仿宋" w:hAnsi="仿宋" w:eastAsia="仿宋" w:cs="仿宋"/>
          <w:color w:val="auto"/>
          <w:sz w:val="21"/>
          <w:szCs w:val="21"/>
          <w:lang w:val="en-US" w:eastAsia="zh-CN"/>
        </w:rPr>
        <w:t>壁报</w:t>
      </w:r>
      <w:r>
        <w:rPr>
          <w:rFonts w:ascii="仿宋" w:hAnsi="仿宋" w:eastAsia="仿宋" w:cs="仿宋"/>
          <w:color w:val="auto"/>
          <w:sz w:val="21"/>
          <w:szCs w:val="21"/>
        </w:rPr>
        <w:t>展示</w:t>
      </w:r>
      <w:r>
        <w:rPr>
          <w:rFonts w:hint="eastAsia" w:ascii="仿宋" w:hAnsi="仿宋" w:eastAsia="仿宋" w:cs="仿宋"/>
          <w:color w:val="auto"/>
          <w:sz w:val="21"/>
          <w:szCs w:val="21"/>
          <w:lang w:eastAsia="zh-CN"/>
        </w:rPr>
        <w:t>）</w:t>
      </w:r>
      <w:r>
        <w:rPr>
          <w:rFonts w:ascii="仿宋" w:hAnsi="仿宋" w:eastAsia="仿宋" w:cs="仿宋"/>
          <w:color w:val="auto"/>
          <w:sz w:val="21"/>
          <w:szCs w:val="21"/>
        </w:rPr>
        <w:t>。参加</w:t>
      </w:r>
      <w:bookmarkStart w:id="0" w:name="_GoBack"/>
      <w:bookmarkEnd w:id="0"/>
      <w:r>
        <w:rPr>
          <w:rFonts w:ascii="仿宋" w:hAnsi="仿宋" w:eastAsia="仿宋" w:cs="仿宋"/>
          <w:color w:val="auto"/>
          <w:sz w:val="21"/>
          <w:szCs w:val="21"/>
        </w:rPr>
        <w:t>活动需提供证明材料，经导师确认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培养单位审核后</w:t>
      </w:r>
      <w:r>
        <w:rPr>
          <w:rFonts w:ascii="仿宋" w:hAnsi="仿宋" w:eastAsia="仿宋" w:cs="仿宋"/>
          <w:color w:val="auto"/>
          <w:sz w:val="21"/>
          <w:szCs w:val="21"/>
        </w:rPr>
        <w:t>认定学分</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满足最低次数要求认定1学分，完成学术报告认定1学分。硕士研究生至少完成1学分，博士研究生至少完成2学分。</w:t>
      </w:r>
      <w:r>
        <w:rPr>
          <w:rFonts w:ascii="仿宋" w:hAnsi="仿宋" w:eastAsia="仿宋" w:cs="仿宋"/>
          <w:color w:val="auto"/>
          <w:sz w:val="21"/>
          <w:szCs w:val="21"/>
        </w:rPr>
        <w:t>鼓励研究生参加国际学术</w:t>
      </w:r>
      <w:r>
        <w:rPr>
          <w:rFonts w:hint="eastAsia" w:ascii="仿宋" w:hAnsi="仿宋" w:eastAsia="仿宋" w:cs="仿宋"/>
          <w:color w:val="auto"/>
          <w:sz w:val="21"/>
          <w:szCs w:val="21"/>
          <w:lang w:val="en-US" w:eastAsia="zh-CN"/>
        </w:rPr>
        <w:t>交流并作报告</w:t>
      </w:r>
      <w:r>
        <w:rPr>
          <w:rFonts w:ascii="仿宋" w:hAnsi="仿宋" w:eastAsia="仿宋" w:cs="仿宋"/>
          <w:color w:val="auto"/>
          <w:sz w:val="21"/>
          <w:szCs w:val="21"/>
        </w:rPr>
        <w:t>。</w:t>
      </w:r>
    </w:p>
    <w:p w14:paraId="324EE6A1">
      <w:pPr>
        <w:spacing w:before="180" w:after="120" w:line="360" w:lineRule="auto"/>
        <w:ind w:firstLine="0"/>
        <w:jc w:val="left"/>
      </w:pPr>
      <w:r>
        <w:rPr>
          <w:rFonts w:hint="eastAsia" w:ascii="黑体" w:hAnsi="黑体" w:eastAsia="黑体" w:cs="黑体"/>
          <w:b/>
          <w:bCs/>
          <w:sz w:val="28"/>
          <w:szCs w:val="28"/>
          <w:lang w:val="en-US" w:eastAsia="zh-CN"/>
        </w:rPr>
        <w:t>3. 科研实践</w:t>
      </w:r>
    </w:p>
    <w:p w14:paraId="3A7A86C5">
      <w:pPr>
        <w:spacing w:before="0" w:after="60" w:line="360" w:lineRule="auto"/>
        <w:ind w:firstLine="480"/>
        <w:jc w:val="both"/>
      </w:pPr>
      <w:r>
        <w:rPr>
          <w:rFonts w:ascii="宋体" w:hAnsi="宋体" w:eastAsia="宋体" w:cs="宋体"/>
          <w:b w:val="0"/>
          <w:bCs w:val="0"/>
          <w:sz w:val="24"/>
          <w:szCs w:val="24"/>
        </w:rPr>
        <w:t>（明确科研实践的周期、形式、考核要求等具体内容。）</w:t>
      </w:r>
    </w:p>
    <w:p w14:paraId="2DBB85E7">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实践周期：科研实践应贯穿培养全过程；②实践形式：包括参与导师科研项目、独立承担子课题、参与产学研合作项目等；③实践内容：应与研究方向和学位论文选题密切相关，有明确的科研实践计划和任务书；④过程管理：科研实践须记录完整、可追溯，导师应每月检查一次；⑤考核要求：提交科研实践报告，由导师组评议，考核不合格者不得申请学位。</w:t>
      </w:r>
    </w:p>
    <w:p w14:paraId="4E7BBBE9">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8080"/>
          <w:sz w:val="21"/>
          <w:szCs w:val="21"/>
        </w:rPr>
        <w:t>【撰写体例】</w:t>
      </w:r>
      <w:r>
        <w:rPr>
          <w:rFonts w:ascii="仿宋" w:hAnsi="仿宋" w:eastAsia="仿宋" w:cs="仿宋"/>
          <w:color w:val="404040"/>
          <w:sz w:val="21"/>
          <w:szCs w:val="21"/>
        </w:rPr>
        <w:t>示例：科研实践贯穿培养全过程。研究生参与导师承担的科研项目或独立开展子课题研究，实践内容应与学位论文选题密切相关。科研实践须填写科研记录，导师应每月检查一次。实践结束后提交不少于5000字的科研实践报告，由导师组评议考核。考核不合格者不得申请学位。</w:t>
      </w:r>
    </w:p>
    <w:p w14:paraId="024CA842">
      <w:pPr>
        <w:spacing w:before="180" w:after="120" w:line="360" w:lineRule="auto"/>
        <w:ind w:firstLine="0"/>
        <w:jc w:val="left"/>
      </w:pPr>
      <w:r>
        <w:rPr>
          <w:rFonts w:hint="eastAsia" w:ascii="黑体" w:hAnsi="黑体" w:eastAsia="黑体" w:cs="黑体"/>
          <w:b/>
          <w:bCs/>
          <w:sz w:val="28"/>
          <w:szCs w:val="28"/>
          <w:lang w:val="en-US" w:eastAsia="zh-CN"/>
        </w:rPr>
        <w:t>4. 学位论文</w:t>
      </w:r>
    </w:p>
    <w:p w14:paraId="3A199B7E">
      <w:pPr>
        <w:spacing w:before="0" w:after="60" w:line="360" w:lineRule="auto"/>
        <w:ind w:firstLine="480"/>
        <w:jc w:val="both"/>
      </w:pPr>
      <w:r>
        <w:rPr>
          <w:rFonts w:ascii="宋体" w:hAnsi="宋体" w:eastAsia="宋体" w:cs="宋体"/>
          <w:b w:val="0"/>
          <w:bCs w:val="0"/>
          <w:sz w:val="24"/>
          <w:szCs w:val="24"/>
        </w:rPr>
        <w:t>（明确学位论文的选题、开题、中期检查、撰写、评阅与答辩等各环节的要求。）</w:t>
      </w:r>
    </w:p>
    <w:p w14:paraId="7A2B4B37">
      <w:pPr>
        <w:spacing w:before="0" w:after="60" w:line="360" w:lineRule="auto"/>
        <w:ind w:firstLine="480"/>
        <w:jc w:val="both"/>
      </w:pPr>
      <w:r>
        <w:rPr>
          <w:rFonts w:ascii="宋体" w:hAnsi="宋体" w:eastAsia="宋体" w:cs="宋体"/>
          <w:b/>
          <w:bCs/>
          <w:sz w:val="24"/>
          <w:szCs w:val="24"/>
        </w:rPr>
        <w:t>（1）开题</w:t>
      </w:r>
    </w:p>
    <w:p w14:paraId="1FF0888D">
      <w:pPr>
        <w:spacing w:before="0" w:after="60" w:line="360" w:lineRule="auto"/>
        <w:ind w:firstLine="480"/>
        <w:jc w:val="both"/>
      </w:pPr>
      <w:r>
        <w:rPr>
          <w:rFonts w:ascii="宋体" w:hAnsi="宋体" w:eastAsia="宋体" w:cs="宋体"/>
          <w:b w:val="0"/>
          <w:bCs w:val="0"/>
          <w:sz w:val="24"/>
          <w:szCs w:val="24"/>
        </w:rPr>
        <w:t>（需明确选题的具体要求）</w:t>
      </w:r>
    </w:p>
    <w:p w14:paraId="59C4AA67">
      <w:pPr>
        <w:spacing w:before="60" w:after="80" w:line="320" w:lineRule="auto"/>
        <w:ind w:firstLine="480"/>
        <w:jc w:val="both"/>
        <w:rPr>
          <w:rFonts w:hint="eastAsia"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①选题应面向国家重大需求和国际学术前沿，具有重要的理论创新意义或实际应用价值；②学位论文应体现作者掌握坚实宽广的基础理论和系统深入的专门知识；③鼓励跨学科、跨单位的联合学位论文选题。</w:t>
      </w:r>
    </w:p>
    <w:p w14:paraId="275EB7B3">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《南京中医药大学研究生学位论文与申请学位实践成果开题管理办法》（南中医大研字〔2025〕2</w:t>
      </w:r>
      <w:r>
        <w:rPr>
          <w:rFonts w:hint="eastAsia" w:ascii="仿宋" w:hAnsi="仿宋" w:eastAsia="仿宋" w:cs="仿宋"/>
          <w:color w:val="404040"/>
          <w:sz w:val="21"/>
          <w:szCs w:val="21"/>
          <w:lang w:val="en-US" w:eastAsia="zh-CN"/>
        </w:rPr>
        <w:t>5</w:t>
      </w:r>
      <w:r>
        <w:rPr>
          <w:rFonts w:ascii="仿宋" w:hAnsi="仿宋" w:eastAsia="仿宋" w:cs="仿宋"/>
          <w:color w:val="404040"/>
          <w:sz w:val="21"/>
          <w:szCs w:val="21"/>
        </w:rPr>
        <w:t>号）。</w:t>
      </w:r>
    </w:p>
    <w:p w14:paraId="27ECFE8F">
      <w:pPr>
        <w:spacing w:before="0" w:after="60" w:line="360" w:lineRule="auto"/>
        <w:ind w:firstLine="480"/>
        <w:jc w:val="both"/>
      </w:pPr>
      <w:r>
        <w:rPr>
          <w:rFonts w:ascii="宋体" w:hAnsi="宋体" w:eastAsia="宋体" w:cs="宋体"/>
          <w:b/>
          <w:bCs/>
          <w:sz w:val="24"/>
          <w:szCs w:val="24"/>
        </w:rPr>
        <w:t>（2）中期检查</w:t>
      </w:r>
    </w:p>
    <w:p w14:paraId="634B4792">
      <w:pPr>
        <w:spacing w:before="0" w:after="60" w:line="360" w:lineRule="auto"/>
        <w:ind w:firstLine="480"/>
        <w:jc w:val="both"/>
      </w:pPr>
      <w:r>
        <w:rPr>
          <w:rFonts w:ascii="宋体" w:hAnsi="宋体" w:eastAsia="宋体" w:cs="宋体"/>
          <w:b w:val="0"/>
          <w:bCs w:val="0"/>
          <w:sz w:val="24"/>
          <w:szCs w:val="24"/>
        </w:rPr>
        <w:t>（需明确检查标准）</w:t>
      </w:r>
    </w:p>
    <w:p w14:paraId="7430152F">
      <w:pPr>
        <w:spacing w:before="60" w:after="80" w:line="320" w:lineRule="auto"/>
        <w:ind w:firstLine="480"/>
        <w:jc w:val="both"/>
        <w:rPr>
          <w:rFonts w:hint="default" w:ascii="仿宋" w:hAnsi="仿宋" w:eastAsia="仿宋" w:cs="仿宋"/>
          <w:color w:val="404040"/>
          <w:sz w:val="21"/>
          <w:szCs w:val="21"/>
          <w:lang w:val="en-US" w:eastAsia="zh-CN"/>
        </w:rPr>
      </w:pPr>
      <w:r>
        <w:rPr>
          <w:rFonts w:ascii="黑体" w:hAnsi="黑体" w:eastAsia="黑体" w:cs="黑体"/>
          <w:b/>
          <w:bCs/>
          <w:color w:val="C00000"/>
          <w:sz w:val="21"/>
          <w:szCs w:val="21"/>
        </w:rPr>
        <w:t>【撰写要求】</w:t>
      </w:r>
      <w:r>
        <w:rPr>
          <w:rFonts w:ascii="仿宋" w:hAnsi="仿宋" w:eastAsia="仿宋" w:cs="仿宋"/>
          <w:color w:val="404040"/>
          <w:sz w:val="21"/>
          <w:szCs w:val="21"/>
        </w:rPr>
        <w:t>①明确本学科中期检查的标准。②中期检查应重点考察学位论文的进展和质量，确保按计划推进。③明确学位论文的质量保障机制。</w:t>
      </w:r>
    </w:p>
    <w:p w14:paraId="1C9362B4">
      <w:pPr>
        <w:spacing w:before="40" w:after="80" w:line="320" w:lineRule="auto"/>
        <w:ind w:firstLine="480"/>
        <w:jc w:val="both"/>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w:t>
      </w:r>
    </w:p>
    <w:p w14:paraId="510B438F">
      <w:pPr>
        <w:spacing w:before="0" w:after="60" w:line="360" w:lineRule="auto"/>
        <w:ind w:firstLine="480"/>
        <w:jc w:val="both"/>
      </w:pPr>
      <w:r>
        <w:rPr>
          <w:rFonts w:ascii="宋体" w:hAnsi="宋体" w:eastAsia="宋体" w:cs="宋体"/>
          <w:b/>
          <w:bCs/>
          <w:sz w:val="24"/>
          <w:szCs w:val="24"/>
        </w:rPr>
        <w:t>（3）实验记录与原始资料</w:t>
      </w:r>
    </w:p>
    <w:p w14:paraId="297793D7">
      <w:pPr>
        <w:spacing w:before="0" w:after="60" w:line="360" w:lineRule="auto"/>
        <w:ind w:firstLine="480"/>
        <w:jc w:val="both"/>
      </w:pPr>
      <w:r>
        <w:rPr>
          <w:rFonts w:ascii="宋体" w:hAnsi="宋体" w:eastAsia="宋体" w:cs="宋体"/>
          <w:b w:val="0"/>
          <w:bCs w:val="0"/>
          <w:sz w:val="24"/>
          <w:szCs w:val="24"/>
        </w:rPr>
        <w:t>（明确实验记录和原始资料的管理要求）</w:t>
      </w:r>
    </w:p>
    <w:p w14:paraId="424CF804">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研究生应完整记录科研过程，包括实验记录、观察记录、数据资料等；②原始资料应真实、完整、可追溯，保存期限不少于5年；③涉及人类遗传资源、生物安全、数据安全等敏感信息的，应按照国家相关法律法规管理；④导师应定期审核实验记录，确保科研规范；⑤实验记录与原始资料是学位论文真实性核查的重要依据。</w:t>
      </w:r>
    </w:p>
    <w:p w14:paraId="39A5E9CA">
      <w:pPr>
        <w:numPr>
          <w:ilvl w:val="0"/>
          <w:numId w:val="1"/>
        </w:numPr>
        <w:spacing w:before="0" w:after="60" w:line="360" w:lineRule="auto"/>
        <w:ind w:firstLine="480"/>
        <w:jc w:val="both"/>
        <w:rPr>
          <w:rFonts w:ascii="宋体" w:hAnsi="宋体" w:eastAsia="宋体" w:cs="宋体"/>
          <w:b/>
          <w:bCs/>
          <w:sz w:val="24"/>
          <w:szCs w:val="24"/>
        </w:rPr>
      </w:pPr>
      <w:r>
        <w:rPr>
          <w:rFonts w:ascii="宋体" w:hAnsi="宋体" w:eastAsia="宋体" w:cs="宋体"/>
          <w:b/>
          <w:bCs/>
          <w:sz w:val="24"/>
          <w:szCs w:val="24"/>
        </w:rPr>
        <w:t>学位论文撰写、评价与答辩</w:t>
      </w:r>
    </w:p>
    <w:p w14:paraId="0A7FC3FD">
      <w:pPr>
        <w:numPr>
          <w:ilvl w:val="0"/>
          <w:numId w:val="0"/>
        </w:numPr>
        <w:spacing w:before="0" w:after="60" w:line="360" w:lineRule="auto"/>
        <w:ind w:leftChars="200"/>
        <w:jc w:val="both"/>
      </w:pPr>
      <w:r>
        <w:rPr>
          <w:rFonts w:ascii="宋体" w:hAnsi="宋体" w:eastAsia="宋体" w:cs="宋体"/>
          <w:b w:val="0"/>
          <w:bCs w:val="0"/>
          <w:sz w:val="24"/>
          <w:szCs w:val="24"/>
        </w:rPr>
        <w:t>（需明确论文的形式与质量要求）</w:t>
      </w:r>
    </w:p>
    <w:p w14:paraId="7F1A9EEA">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①形式要求：学位论文应格式规范、逻辑严密、数据翔实、论证充分</w:t>
      </w:r>
      <w:r>
        <w:rPr>
          <w:rFonts w:hint="eastAsia" w:ascii="仿宋" w:hAnsi="仿宋" w:eastAsia="仿宋" w:cs="仿宋"/>
          <w:color w:val="404040"/>
          <w:sz w:val="21"/>
          <w:szCs w:val="21"/>
          <w:lang w:val="en-US" w:eastAsia="zh-CN"/>
        </w:rPr>
        <w:t>符合学校统一要求</w:t>
      </w:r>
      <w:r>
        <w:rPr>
          <w:rFonts w:ascii="仿宋" w:hAnsi="仿宋" w:eastAsia="仿宋" w:cs="仿宋"/>
          <w:color w:val="404040"/>
          <w:sz w:val="21"/>
          <w:szCs w:val="21"/>
        </w:rPr>
        <w:t>；②质量要求：应体现作者具有从事科学研究的能力，成果具有创新性和学术价值；③同行评价：实行校内外专家</w:t>
      </w:r>
      <w:r>
        <w:rPr>
          <w:rFonts w:hint="eastAsia" w:ascii="仿宋" w:hAnsi="仿宋" w:eastAsia="仿宋" w:cs="仿宋"/>
          <w:color w:val="404040"/>
          <w:sz w:val="21"/>
          <w:szCs w:val="21"/>
          <w:lang w:val="en-US" w:eastAsia="zh-CN"/>
        </w:rPr>
        <w:t>评</w:t>
      </w:r>
      <w:r>
        <w:rPr>
          <w:rFonts w:ascii="仿宋" w:hAnsi="仿宋" w:eastAsia="仿宋" w:cs="仿宋"/>
          <w:color w:val="404040"/>
          <w:sz w:val="21"/>
          <w:szCs w:val="21"/>
        </w:rPr>
        <w:t>审制度，确保评审质量；④答辩：公开答辩，需有校外专家。</w:t>
      </w:r>
    </w:p>
    <w:p w14:paraId="0579D31A">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1.《南京中医药大学研究生学位论文或申请学位实践成果评阅与质量管理办法》（南中医大研字〔2025〕24号）；2.《南京中医药大学研究生毕业与学位授予管理办法》（南中医大研字〔2025〕23号）。</w:t>
      </w:r>
    </w:p>
    <w:p w14:paraId="297A8575">
      <w:pPr>
        <w:spacing w:before="40" w:after="80" w:line="320" w:lineRule="auto"/>
        <w:ind w:firstLine="480"/>
        <w:jc w:val="both"/>
        <w:rPr>
          <w:rFonts w:ascii="仿宋" w:hAnsi="仿宋" w:eastAsia="仿宋" w:cs="仿宋"/>
          <w:color w:val="404040"/>
          <w:sz w:val="21"/>
          <w:szCs w:val="21"/>
        </w:rPr>
      </w:pPr>
    </w:p>
    <w:p w14:paraId="49D9D9FE">
      <w:pPr>
        <w:spacing w:before="240" w:after="120" w:line="360" w:lineRule="auto"/>
        <w:ind w:firstLine="0"/>
        <w:jc w:val="left"/>
      </w:pPr>
      <w:r>
        <w:rPr>
          <w:rFonts w:hint="eastAsia" w:ascii="黑体" w:hAnsi="黑体" w:eastAsia="黑体" w:cs="黑体"/>
          <w:b/>
          <w:bCs/>
          <w:sz w:val="32"/>
          <w:szCs w:val="32"/>
          <w:lang w:val="en-US" w:eastAsia="zh-CN"/>
        </w:rPr>
        <w:t>六</w:t>
      </w:r>
      <w:r>
        <w:rPr>
          <w:rFonts w:ascii="黑体" w:hAnsi="黑体" w:eastAsia="黑体" w:cs="黑体"/>
          <w:b/>
          <w:bCs/>
          <w:sz w:val="32"/>
          <w:szCs w:val="32"/>
        </w:rPr>
        <w:t>、中期考核</w:t>
      </w:r>
    </w:p>
    <w:p w14:paraId="5F27EDAE">
      <w:pPr>
        <w:spacing w:before="0" w:after="60" w:line="360" w:lineRule="auto"/>
        <w:ind w:firstLine="480"/>
        <w:jc w:val="both"/>
      </w:pPr>
      <w:r>
        <w:rPr>
          <w:rFonts w:ascii="宋体" w:hAnsi="宋体" w:eastAsia="宋体" w:cs="宋体"/>
          <w:b w:val="0"/>
          <w:bCs w:val="0"/>
          <w:sz w:val="24"/>
          <w:szCs w:val="24"/>
        </w:rPr>
        <w:t>（明确中期考核的时间、内容、形式与结果处理。）</w:t>
      </w:r>
    </w:p>
    <w:p w14:paraId="5DD0A083">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①考核时间：一般在第四学期</w:t>
      </w:r>
      <w:r>
        <w:rPr>
          <w:rFonts w:hint="eastAsia" w:ascii="仿宋" w:hAnsi="仿宋" w:eastAsia="仿宋" w:cs="仿宋"/>
          <w:color w:val="404040"/>
          <w:sz w:val="21"/>
          <w:szCs w:val="21"/>
          <w:lang w:val="en-US" w:eastAsia="zh-CN"/>
        </w:rPr>
        <w:t>结束前</w:t>
      </w:r>
      <w:r>
        <w:rPr>
          <w:rFonts w:ascii="仿宋" w:hAnsi="仿宋" w:eastAsia="仿宋" w:cs="仿宋"/>
          <w:color w:val="404040"/>
          <w:sz w:val="21"/>
          <w:szCs w:val="21"/>
        </w:rPr>
        <w:t>；②考核内容：思想政治素质、课程学习情况、科研实践进展、学位论文开题及进展、学术规范与学术道德等；③考核形式：④考核结果与整改措施：⑤中期考核</w:t>
      </w:r>
      <w:r>
        <w:rPr>
          <w:rFonts w:hint="eastAsia" w:ascii="仿宋" w:hAnsi="仿宋" w:eastAsia="仿宋" w:cs="仿宋"/>
          <w:color w:val="404040"/>
          <w:sz w:val="21"/>
          <w:szCs w:val="21"/>
          <w:lang w:val="en-US" w:eastAsia="zh-CN"/>
        </w:rPr>
        <w:t>可</w:t>
      </w:r>
      <w:r>
        <w:rPr>
          <w:rFonts w:ascii="仿宋" w:hAnsi="仿宋" w:eastAsia="仿宋" w:cs="仿宋"/>
          <w:color w:val="404040"/>
          <w:sz w:val="21"/>
          <w:szCs w:val="21"/>
        </w:rPr>
        <w:t>与学位论文中期检查合并进行。</w:t>
      </w:r>
    </w:p>
    <w:p w14:paraId="0DBA95C2">
      <w:pPr>
        <w:spacing w:before="40" w:after="80" w:line="320" w:lineRule="auto"/>
        <w:ind w:firstLine="48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1.《南京中医药大学研究生中期考核管理办法》（南中医大研字〔2025〕26号）；2.《南京中医药大学研究生学籍管理</w:t>
      </w:r>
      <w:r>
        <w:rPr>
          <w:rFonts w:hint="eastAsia" w:ascii="仿宋" w:hAnsi="仿宋" w:eastAsia="仿宋" w:cs="仿宋"/>
          <w:color w:val="404040"/>
          <w:sz w:val="21"/>
          <w:szCs w:val="21"/>
          <w:lang w:val="en-US" w:eastAsia="zh-CN"/>
        </w:rPr>
        <w:t>实施细则</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9</w:t>
      </w:r>
      <w:r>
        <w:rPr>
          <w:rFonts w:ascii="仿宋" w:hAnsi="仿宋" w:eastAsia="仿宋" w:cs="仿宋"/>
          <w:color w:val="404040"/>
          <w:sz w:val="21"/>
          <w:szCs w:val="21"/>
        </w:rPr>
        <w:t>号）。</w:t>
      </w:r>
    </w:p>
    <w:p w14:paraId="5D7327A3">
      <w:pPr>
        <w:spacing w:before="40" w:after="80" w:line="320" w:lineRule="auto"/>
        <w:ind w:firstLine="480"/>
        <w:jc w:val="both"/>
        <w:rPr>
          <w:rFonts w:ascii="仿宋" w:hAnsi="仿宋" w:eastAsia="仿宋" w:cs="仿宋"/>
          <w:color w:val="404040"/>
          <w:sz w:val="21"/>
          <w:szCs w:val="21"/>
        </w:rPr>
      </w:pPr>
    </w:p>
    <w:p w14:paraId="5BF70B20">
      <w:pPr>
        <w:spacing w:before="240" w:after="120" w:line="360" w:lineRule="auto"/>
        <w:ind w:firstLine="0"/>
        <w:jc w:val="left"/>
      </w:pPr>
      <w:r>
        <w:rPr>
          <w:rFonts w:hint="eastAsia" w:ascii="黑体" w:hAnsi="黑体" w:eastAsia="黑体" w:cs="黑体"/>
          <w:b/>
          <w:bCs/>
          <w:sz w:val="32"/>
          <w:szCs w:val="32"/>
          <w:lang w:val="en-US" w:eastAsia="zh-CN"/>
        </w:rPr>
        <w:t>七</w:t>
      </w:r>
      <w:r>
        <w:rPr>
          <w:rFonts w:ascii="黑体" w:hAnsi="黑体" w:eastAsia="黑体" w:cs="黑体"/>
          <w:b/>
          <w:bCs/>
          <w:sz w:val="32"/>
          <w:szCs w:val="32"/>
        </w:rPr>
        <w:t>、毕业与学位授予</w:t>
      </w:r>
    </w:p>
    <w:p w14:paraId="1CF4529B">
      <w:pPr>
        <w:spacing w:before="0" w:after="60" w:line="360" w:lineRule="auto"/>
        <w:ind w:firstLine="480"/>
        <w:jc w:val="both"/>
      </w:pPr>
      <w:r>
        <w:rPr>
          <w:rFonts w:ascii="宋体" w:hAnsi="宋体" w:eastAsia="宋体" w:cs="宋体"/>
          <w:b w:val="0"/>
          <w:bCs w:val="0"/>
          <w:sz w:val="24"/>
          <w:szCs w:val="24"/>
        </w:rPr>
        <w:t>（明确毕业条件和学位授予标准。）</w:t>
      </w:r>
    </w:p>
    <w:p w14:paraId="58E9EBCB">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①毕业条件；②学位授予；③学位授予的例外情形（如学术不端一票否决等）；④</w:t>
      </w:r>
      <w:r>
        <w:rPr>
          <w:rFonts w:hint="eastAsia" w:ascii="仿宋" w:hAnsi="仿宋" w:eastAsia="仿宋" w:cs="仿宋"/>
          <w:color w:val="404040"/>
          <w:sz w:val="21"/>
          <w:szCs w:val="21"/>
        </w:rPr>
        <w:t>学科专业关于毕业学位的其他要求</w:t>
      </w:r>
      <w:r>
        <w:rPr>
          <w:rFonts w:hint="eastAsia" w:ascii="仿宋" w:hAnsi="仿宋" w:eastAsia="仿宋" w:cs="仿宋"/>
          <w:color w:val="404040"/>
          <w:sz w:val="21"/>
          <w:szCs w:val="21"/>
          <w:lang w:eastAsia="zh-CN"/>
        </w:rPr>
        <w:t>；⑤</w:t>
      </w:r>
      <w:r>
        <w:rPr>
          <w:rFonts w:ascii="仿宋" w:hAnsi="仿宋" w:eastAsia="仿宋" w:cs="仿宋"/>
          <w:color w:val="404040"/>
          <w:sz w:val="21"/>
          <w:szCs w:val="21"/>
        </w:rPr>
        <w:t>应以创新性科研成果作为学位申请的核心依据。</w:t>
      </w:r>
    </w:p>
    <w:p w14:paraId="18840199">
      <w:pPr>
        <w:spacing w:before="60" w:after="80" w:line="320" w:lineRule="auto"/>
        <w:ind w:firstLine="480"/>
        <w:jc w:val="both"/>
        <w:rPr>
          <w:rFonts w:hint="eastAsia" w:ascii="仿宋" w:hAnsi="仿宋" w:eastAsia="仿宋" w:cs="仿宋"/>
          <w:color w:val="auto"/>
          <w:sz w:val="21"/>
          <w:szCs w:val="21"/>
          <w:lang w:val="en-US" w:eastAsia="zh-CN"/>
        </w:rPr>
      </w:pPr>
      <w:r>
        <w:rPr>
          <w:rFonts w:ascii="黑体" w:hAnsi="黑体" w:eastAsia="黑体" w:cs="黑体"/>
          <w:b/>
          <w:bCs/>
          <w:color w:val="008080"/>
          <w:sz w:val="21"/>
          <w:szCs w:val="21"/>
        </w:rPr>
        <w:t>【撰写体例】</w:t>
      </w:r>
      <w:r>
        <w:rPr>
          <w:rFonts w:ascii="仿宋" w:hAnsi="仿宋" w:eastAsia="仿宋" w:cs="仿宋"/>
          <w:color w:val="404040"/>
          <w:sz w:val="21"/>
          <w:szCs w:val="21"/>
        </w:rPr>
        <w:t>示例：</w:t>
      </w:r>
      <w:r>
        <w:rPr>
          <w:rFonts w:ascii="仿宋" w:hAnsi="仿宋" w:eastAsia="仿宋" w:cs="仿宋"/>
          <w:color w:val="auto"/>
          <w:sz w:val="21"/>
          <w:szCs w:val="21"/>
        </w:rPr>
        <w:t>研究生在规定学习年限内，修满培养方案规定的学分，完成学术交流、科研实践等全部培养环节，通过学位论文答辩，</w:t>
      </w:r>
      <w:r>
        <w:rPr>
          <w:rFonts w:hint="eastAsia" w:ascii="仿宋" w:hAnsi="仿宋" w:eastAsia="仿宋" w:cs="仿宋"/>
          <w:color w:val="auto"/>
          <w:sz w:val="21"/>
          <w:szCs w:val="21"/>
          <w:lang w:val="en-US" w:eastAsia="zh-CN"/>
        </w:rPr>
        <w:t>即获得毕业资格，经所在培养单位和研究生院审核，准予毕业。</w:t>
      </w:r>
    </w:p>
    <w:p w14:paraId="3149ABFA">
      <w:pPr>
        <w:spacing w:before="60" w:after="80" w:line="320" w:lineRule="auto"/>
        <w:ind w:firstLine="480"/>
        <w:jc w:val="both"/>
        <w:rPr>
          <w:rFonts w:ascii="仿宋" w:hAnsi="仿宋" w:eastAsia="仿宋" w:cs="仿宋"/>
          <w:color w:val="auto"/>
          <w:sz w:val="21"/>
          <w:szCs w:val="21"/>
        </w:rPr>
      </w:pPr>
      <w:r>
        <w:rPr>
          <w:rFonts w:hint="eastAsia" w:ascii="仿宋" w:hAnsi="仿宋" w:eastAsia="仿宋" w:cs="仿宋"/>
          <w:color w:val="auto"/>
          <w:sz w:val="21"/>
          <w:szCs w:val="21"/>
          <w:lang w:val="en-US" w:eastAsia="zh-CN"/>
        </w:rPr>
        <w:t>获得毕业资格，同时符合《南京中医药大学研究生毕业与学位授予管理办法》中“学位授予条件”的相关规定，经学位评定分委员会和学位评定委员会审议，授予相应层次类型的</w:t>
      </w:r>
      <w:r>
        <w:rPr>
          <w:rFonts w:ascii="仿宋" w:hAnsi="仿宋" w:eastAsia="仿宋" w:cs="仿宋"/>
          <w:color w:val="auto"/>
          <w:sz w:val="21"/>
          <w:szCs w:val="21"/>
        </w:rPr>
        <w:t>学位</w:t>
      </w:r>
      <w:r>
        <w:rPr>
          <w:rFonts w:hint="eastAsia" w:ascii="仿宋" w:hAnsi="仿宋" w:eastAsia="仿宋" w:cs="仿宋"/>
          <w:color w:val="auto"/>
          <w:sz w:val="21"/>
          <w:szCs w:val="21"/>
          <w:lang w:val="en-US" w:eastAsia="zh-CN"/>
        </w:rPr>
        <w:t>。</w:t>
      </w:r>
      <w:r>
        <w:rPr>
          <w:rFonts w:ascii="仿宋" w:hAnsi="仿宋" w:eastAsia="仿宋" w:cs="仿宋"/>
          <w:color w:val="auto"/>
          <w:sz w:val="21"/>
          <w:szCs w:val="21"/>
        </w:rPr>
        <w:t>存在学术不端行为的，实行一票否决。</w:t>
      </w:r>
    </w:p>
    <w:p w14:paraId="619545B7">
      <w:pPr>
        <w:keepNext w:val="0"/>
        <w:keepLines w:val="0"/>
        <w:widowControl/>
        <w:suppressLineNumbers w:val="0"/>
        <w:jc w:val="both"/>
        <w:rPr>
          <w:rFonts w:ascii="仿宋" w:hAnsi="仿宋" w:eastAsia="仿宋" w:cs="仿宋"/>
          <w:color w:val="404040"/>
          <w:sz w:val="21"/>
          <w:szCs w:val="21"/>
        </w:rPr>
      </w:pPr>
      <w:r>
        <w:rPr>
          <w:rFonts w:ascii="黑体" w:hAnsi="黑体" w:eastAsia="黑体" w:cs="黑体"/>
          <w:b/>
          <w:bCs/>
          <w:color w:val="0070C0"/>
          <w:sz w:val="21"/>
          <w:szCs w:val="21"/>
        </w:rPr>
        <w:t>【参考文件】</w:t>
      </w:r>
      <w:r>
        <w:rPr>
          <w:rFonts w:ascii="仿宋" w:hAnsi="仿宋" w:eastAsia="仿宋" w:cs="仿宋"/>
          <w:color w:val="404040"/>
          <w:sz w:val="21"/>
          <w:szCs w:val="21"/>
        </w:rPr>
        <w:t>1.《南京中医药大学研究生毕业与学位授予管理办法》（南中医大研字〔2025〕23号）；2.《南京中医药大学研究生学位论文或申请学位实践成果评阅与质量管理办法》（南中医大研字〔2025〕24号）</w:t>
      </w:r>
      <w:r>
        <w:rPr>
          <w:rFonts w:hint="eastAsia" w:ascii="仿宋" w:hAnsi="仿宋" w:eastAsia="仿宋" w:cs="仿宋"/>
          <w:color w:val="404040"/>
          <w:sz w:val="21"/>
          <w:szCs w:val="21"/>
          <w:lang w:eastAsia="zh-CN"/>
        </w:rPr>
        <w:t>；</w:t>
      </w:r>
      <w:r>
        <w:rPr>
          <w:rFonts w:hint="eastAsia" w:ascii="仿宋" w:hAnsi="仿宋" w:eastAsia="仿宋" w:cs="仿宋"/>
          <w:color w:val="404040"/>
          <w:sz w:val="21"/>
          <w:szCs w:val="21"/>
          <w:lang w:val="en-US" w:eastAsia="zh-CN"/>
        </w:rPr>
        <w:t>3.</w:t>
      </w:r>
      <w:r>
        <w:rPr>
          <w:rFonts w:ascii="仿宋" w:hAnsi="仿宋" w:eastAsia="仿宋" w:cs="仿宋"/>
          <w:color w:val="404040"/>
          <w:sz w:val="21"/>
          <w:szCs w:val="21"/>
          <w:lang w:val="en-US" w:eastAsia="zh-CN"/>
        </w:rPr>
        <w:t>《南京中医药大学关于研</w:t>
      </w:r>
      <w:r>
        <w:rPr>
          <w:rFonts w:hint="eastAsia" w:ascii="仿宋" w:hAnsi="仿宋" w:eastAsia="仿宋" w:cs="仿宋"/>
          <w:color w:val="404040"/>
          <w:sz w:val="21"/>
          <w:szCs w:val="21"/>
          <w:lang w:val="en-US" w:eastAsia="zh-CN"/>
        </w:rPr>
        <w:t>究生申请硕士、博士学位科研成果的规定（2025 年修订）》</w:t>
      </w:r>
      <w:r>
        <w:rPr>
          <w:rFonts w:ascii="仿宋" w:hAnsi="仿宋" w:eastAsia="仿宋" w:cs="仿宋"/>
          <w:color w:val="404040"/>
          <w:sz w:val="21"/>
          <w:szCs w:val="21"/>
        </w:rPr>
        <w:t>（南中医大研字〔2025〕2</w:t>
      </w:r>
      <w:r>
        <w:rPr>
          <w:rFonts w:hint="eastAsia" w:ascii="仿宋" w:hAnsi="仿宋" w:eastAsia="仿宋" w:cs="仿宋"/>
          <w:color w:val="404040"/>
          <w:sz w:val="21"/>
          <w:szCs w:val="21"/>
          <w:lang w:val="en-US" w:eastAsia="zh-CN"/>
        </w:rPr>
        <w:t>7</w:t>
      </w:r>
      <w:r>
        <w:rPr>
          <w:rFonts w:ascii="仿宋" w:hAnsi="仿宋" w:eastAsia="仿宋" w:cs="仿宋"/>
          <w:color w:val="404040"/>
          <w:sz w:val="21"/>
          <w:szCs w:val="21"/>
        </w:rPr>
        <w:t>号）</w:t>
      </w:r>
    </w:p>
    <w:p w14:paraId="70EEA306">
      <w:pPr>
        <w:spacing w:before="0" w:after="0"/>
        <w:ind w:left="0" w:leftChars="0" w:firstLine="0" w:firstLineChars="0"/>
      </w:pPr>
    </w:p>
    <w:p w14:paraId="7EB820D9">
      <w:pPr>
        <w:spacing w:before="240" w:after="120" w:line="360" w:lineRule="auto"/>
        <w:ind w:firstLine="0"/>
        <w:jc w:val="left"/>
      </w:pPr>
      <w:r>
        <w:rPr>
          <w:rFonts w:hint="eastAsia" w:ascii="黑体" w:hAnsi="黑体" w:eastAsia="黑体" w:cs="黑体"/>
          <w:b/>
          <w:bCs/>
          <w:sz w:val="32"/>
          <w:szCs w:val="32"/>
          <w:lang w:val="en-US" w:eastAsia="zh-CN"/>
        </w:rPr>
        <w:t>八</w:t>
      </w:r>
      <w:r>
        <w:rPr>
          <w:rFonts w:ascii="黑体" w:hAnsi="黑体" w:eastAsia="黑体" w:cs="黑体"/>
          <w:b/>
          <w:bCs/>
          <w:sz w:val="32"/>
          <w:szCs w:val="32"/>
        </w:rPr>
        <w:t>、培养过程及时间安排</w:t>
      </w:r>
    </w:p>
    <w:p w14:paraId="492F3362">
      <w:pPr>
        <w:spacing w:before="0" w:after="60" w:line="360" w:lineRule="auto"/>
        <w:ind w:firstLine="480"/>
        <w:jc w:val="both"/>
      </w:pPr>
      <w:r>
        <w:rPr>
          <w:rFonts w:ascii="宋体" w:hAnsi="宋体" w:eastAsia="宋体" w:cs="宋体"/>
          <w:b w:val="0"/>
          <w:bCs w:val="0"/>
          <w:sz w:val="24"/>
          <w:szCs w:val="24"/>
        </w:rPr>
        <w:t>（以表格形式列出各学期培养内容安排。）</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40"/>
        <w:gridCol w:w="1994"/>
        <w:gridCol w:w="6326"/>
      </w:tblGrid>
      <w:tr w14:paraId="689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04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FFB3741">
            <w:pPr>
              <w:jc w:val="center"/>
            </w:pPr>
            <w:r>
              <w:rPr>
                <w:rFonts w:ascii="黑体" w:hAnsi="黑体" w:eastAsia="黑体" w:cs="黑体"/>
                <w:b/>
                <w:bCs/>
                <w:sz w:val="20"/>
                <w:szCs w:val="20"/>
              </w:rPr>
              <w:t>序号</w:t>
            </w:r>
          </w:p>
        </w:tc>
        <w:tc>
          <w:tcPr>
            <w:tcW w:w="1994"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62558DF3">
            <w:pPr>
              <w:jc w:val="center"/>
            </w:pPr>
            <w:r>
              <w:rPr>
                <w:rFonts w:ascii="黑体" w:hAnsi="黑体" w:eastAsia="黑体" w:cs="黑体"/>
                <w:b/>
                <w:bCs/>
                <w:sz w:val="20"/>
                <w:szCs w:val="20"/>
              </w:rPr>
              <w:t>时间</w:t>
            </w:r>
          </w:p>
        </w:tc>
        <w:tc>
          <w:tcPr>
            <w:tcW w:w="6326"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14:paraId="14C2F70F">
            <w:pPr>
              <w:jc w:val="center"/>
            </w:pPr>
            <w:r>
              <w:rPr>
                <w:rFonts w:ascii="黑体" w:hAnsi="黑体" w:eastAsia="黑体" w:cs="黑体"/>
                <w:b/>
                <w:bCs/>
                <w:sz w:val="20"/>
                <w:szCs w:val="20"/>
              </w:rPr>
              <w:t>培养内容</w:t>
            </w:r>
          </w:p>
        </w:tc>
      </w:tr>
      <w:tr w14:paraId="4F9E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5E8500C">
            <w:pPr>
              <w:jc w:val="center"/>
            </w:pPr>
            <w:r>
              <w:t>1</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5590B93">
            <w:pPr>
              <w:jc w:val="left"/>
            </w:pPr>
            <w:r>
              <w:t>第一学期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55C85B1">
            <w:pPr>
              <w:jc w:val="left"/>
              <w:rPr>
                <w:rFonts w:hint="default" w:eastAsia="宋体"/>
                <w:lang w:val="en-US" w:eastAsia="zh-CN"/>
              </w:rPr>
            </w:pPr>
            <w:r>
              <w:t>示例：制定培养计划、选课、入学教育</w:t>
            </w:r>
          </w:p>
        </w:tc>
      </w:tr>
      <w:tr w14:paraId="24F7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7CB80B2">
            <w:pPr>
              <w:jc w:val="center"/>
              <w:rPr>
                <w:rFonts w:hint="eastAsia" w:eastAsia="宋体"/>
                <w:lang w:eastAsia="zh-CN"/>
              </w:rPr>
            </w:pPr>
            <w:r>
              <w:t>2</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E157DEF">
            <w:pPr>
              <w:jc w:val="left"/>
            </w:pPr>
            <w:r>
              <w:t>第二学期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0B36E55">
            <w:pPr>
              <w:jc w:val="left"/>
              <w:rPr>
                <w:rFonts w:hint="default" w:eastAsia="宋体"/>
                <w:lang w:val="en-US" w:eastAsia="zh-CN"/>
              </w:rPr>
            </w:pPr>
            <w:r>
              <w:t>示例：课程学习、文献研读、学术交流</w:t>
            </w:r>
            <w:r>
              <w:rPr>
                <w:rFonts w:hint="eastAsia"/>
                <w:lang w:eastAsia="zh-CN"/>
              </w:rPr>
              <w:t>、</w:t>
            </w:r>
            <w:r>
              <w:t>开题报告、</w:t>
            </w:r>
          </w:p>
        </w:tc>
      </w:tr>
      <w:tr w14:paraId="40B9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1EBAB1C">
            <w:pPr>
              <w:jc w:val="center"/>
              <w:rPr>
                <w:rFonts w:hint="eastAsia" w:eastAsia="宋体"/>
                <w:lang w:eastAsia="zh-CN"/>
              </w:rPr>
            </w:pPr>
            <w:r>
              <w:t>3</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786CE7">
            <w:pPr>
              <w:jc w:val="left"/>
            </w:pPr>
            <w:r>
              <w:t>第三学期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7FBABCD">
            <w:pPr>
              <w:jc w:val="left"/>
              <w:rPr>
                <w:rFonts w:hint="default" w:cs="宋体"/>
                <w:sz w:val="20"/>
                <w:szCs w:val="20"/>
                <w:lang w:val="en-US" w:eastAsia="zh-CN"/>
              </w:rPr>
            </w:pPr>
            <w:r>
              <w:t>示例：科研实践</w:t>
            </w:r>
          </w:p>
        </w:tc>
      </w:tr>
      <w:tr w14:paraId="5E11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911894D">
            <w:pPr>
              <w:jc w:val="center"/>
              <w:rPr>
                <w:rFonts w:hint="eastAsia" w:eastAsia="宋体"/>
                <w:lang w:eastAsia="zh-CN"/>
              </w:rPr>
            </w:pPr>
            <w:r>
              <w:t>4</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6658A">
            <w:pPr>
              <w:jc w:val="left"/>
            </w:pPr>
            <w:r>
              <w:t>第四学期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FC432B5">
            <w:pPr>
              <w:jc w:val="left"/>
              <w:rPr>
                <w:rFonts w:hint="default" w:eastAsia="宋体" w:cs="宋体"/>
                <w:sz w:val="20"/>
                <w:szCs w:val="20"/>
                <w:lang w:val="en-US" w:eastAsia="zh-CN"/>
              </w:rPr>
            </w:pPr>
            <w:r>
              <w:t>示例：科研实践、中期考核、</w:t>
            </w:r>
            <w:r>
              <w:rPr>
                <w:rFonts w:hint="eastAsia"/>
                <w:lang w:val="en-US" w:eastAsia="zh-CN"/>
              </w:rPr>
              <w:t>成果撰写与发表</w:t>
            </w:r>
          </w:p>
        </w:tc>
      </w:tr>
      <w:tr w14:paraId="1395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3A15428">
            <w:pPr>
              <w:jc w:val="center"/>
              <w:rPr>
                <w:rFonts w:hint="eastAsia" w:eastAsia="宋体"/>
                <w:lang w:eastAsia="zh-CN"/>
              </w:rPr>
            </w:pPr>
            <w:r>
              <w:t>5</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4BDC9CE6">
            <w:pPr>
              <w:jc w:val="left"/>
            </w:pPr>
            <w:r>
              <w:t>第五学期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1F39CEB4">
            <w:pPr>
              <w:jc w:val="left"/>
              <w:rPr>
                <w:rFonts w:hint="eastAsia" w:cs="宋体"/>
                <w:sz w:val="20"/>
                <w:szCs w:val="20"/>
                <w:lang w:val="en-US" w:eastAsia="zh-CN"/>
              </w:rPr>
            </w:pPr>
            <w:r>
              <w:t>示例：科研实践</w:t>
            </w:r>
            <w:r>
              <w:rPr>
                <w:rFonts w:hint="eastAsia"/>
                <w:lang w:eastAsia="zh-CN"/>
              </w:rPr>
              <w:t>、</w:t>
            </w:r>
            <w:r>
              <w:rPr>
                <w:rFonts w:hint="eastAsia"/>
                <w:lang w:val="en-US" w:eastAsia="zh-CN"/>
              </w:rPr>
              <w:t>成果撰写与发表、</w:t>
            </w:r>
            <w:r>
              <w:t>学位论文撰写</w:t>
            </w:r>
          </w:p>
        </w:tc>
      </w:tr>
      <w:tr w14:paraId="0915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2A2C423D">
            <w:pPr>
              <w:jc w:val="center"/>
              <w:rPr>
                <w:rFonts w:hint="eastAsia" w:eastAsia="宋体"/>
                <w:lang w:eastAsia="zh-CN"/>
              </w:rPr>
            </w:pPr>
            <w:r>
              <w:t>6</w:t>
            </w: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DAB6433">
            <w:pPr>
              <w:jc w:val="left"/>
            </w:pPr>
            <w:r>
              <w:t>第六学期</w:t>
            </w: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82F5169">
            <w:pPr>
              <w:jc w:val="left"/>
              <w:rPr>
                <w:rFonts w:hint="eastAsia" w:cs="宋体"/>
                <w:sz w:val="20"/>
                <w:szCs w:val="20"/>
                <w:lang w:val="en-US" w:eastAsia="zh-CN"/>
              </w:rPr>
            </w:pPr>
            <w:r>
              <w:t>示例：学位论文评阅与答辩</w:t>
            </w:r>
          </w:p>
        </w:tc>
      </w:tr>
      <w:tr w14:paraId="26F9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4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3BEF63C3">
            <w:pPr>
              <w:jc w:val="center"/>
            </w:pPr>
          </w:p>
        </w:tc>
        <w:tc>
          <w:tcPr>
            <w:tcW w:w="1994"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66623C12">
            <w:pPr>
              <w:jc w:val="left"/>
            </w:pPr>
          </w:p>
        </w:tc>
        <w:tc>
          <w:tcPr>
            <w:tcW w:w="6326"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14:paraId="79FFC3F3">
            <w:pPr>
              <w:jc w:val="left"/>
            </w:pPr>
          </w:p>
        </w:tc>
      </w:tr>
    </w:tbl>
    <w:p w14:paraId="50C832A9">
      <w:pPr>
        <w:spacing w:before="0" w:after="0"/>
      </w:pPr>
    </w:p>
    <w:p w14:paraId="558C2BFF">
      <w:pPr>
        <w:spacing w:before="40" w:after="60" w:line="320" w:lineRule="auto"/>
        <w:ind w:firstLine="480"/>
        <w:jc w:val="both"/>
        <w:rPr>
          <w:rFonts w:ascii="仿宋" w:hAnsi="仿宋" w:eastAsia="仿宋" w:cs="仿宋"/>
          <w:color w:val="404040"/>
          <w:sz w:val="21"/>
          <w:szCs w:val="21"/>
        </w:rPr>
      </w:pPr>
      <w:r>
        <w:rPr>
          <w:rFonts w:ascii="黑体" w:hAnsi="黑体" w:eastAsia="黑体" w:cs="黑体"/>
          <w:b/>
          <w:bCs/>
          <w:color w:val="7030A0"/>
          <w:sz w:val="21"/>
          <w:szCs w:val="21"/>
        </w:rPr>
        <w:t>【填写说明】</w:t>
      </w:r>
      <w:r>
        <w:rPr>
          <w:rFonts w:ascii="仿宋" w:hAnsi="仿宋" w:eastAsia="仿宋" w:cs="仿宋"/>
          <w:color w:val="404040"/>
          <w:sz w:val="21"/>
          <w:szCs w:val="21"/>
        </w:rPr>
        <w:t>各学院可根据学科实际调整时间安排，但应确保各培养环节的先后顺序合理，且符合学校相关文件规定的节点要求。</w:t>
      </w:r>
    </w:p>
    <w:p w14:paraId="202C608F">
      <w:pPr>
        <w:spacing w:before="40" w:after="60" w:line="320" w:lineRule="auto"/>
        <w:ind w:firstLine="480"/>
        <w:jc w:val="both"/>
        <w:rPr>
          <w:rFonts w:ascii="仿宋" w:hAnsi="仿宋" w:eastAsia="仿宋" w:cs="仿宋"/>
          <w:color w:val="404040"/>
          <w:sz w:val="21"/>
          <w:szCs w:val="21"/>
        </w:rPr>
      </w:pPr>
    </w:p>
    <w:p w14:paraId="26DCDE3E">
      <w:pPr>
        <w:spacing w:before="0" w:after="60" w:line="360" w:lineRule="auto"/>
        <w:ind w:firstLine="0"/>
        <w:jc w:val="both"/>
      </w:pPr>
      <w:r>
        <w:rPr>
          <w:rFonts w:ascii="宋体" w:hAnsi="宋体" w:eastAsia="宋体" w:cs="宋体"/>
          <w:b w:val="0"/>
          <w:bCs w:val="0"/>
          <w:sz w:val="24"/>
          <w:szCs w:val="24"/>
        </w:rPr>
        <w:t>备注：培养过程中若有文件制度更新，则依据最新文件要求执行。</w:t>
      </w:r>
    </w:p>
    <w:p w14:paraId="4AC72849">
      <w:pPr>
        <w:spacing w:before="0" w:after="0"/>
      </w:pPr>
    </w:p>
    <w:p w14:paraId="15E51EE0">
      <w:pPr>
        <w:spacing w:before="0" w:after="60" w:line="360" w:lineRule="auto"/>
        <w:ind w:firstLine="0"/>
        <w:jc w:val="cente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p>
    <w:p w14:paraId="5B5A8B3A">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6CF1A03E">
      <w:pPr>
        <w:spacing w:before="0" w:after="0"/>
      </w:pPr>
    </w:p>
    <w:p w14:paraId="3F611685">
      <w:pPr>
        <w:spacing w:before="0" w:after="0"/>
      </w:pPr>
    </w:p>
    <w:p w14:paraId="06E153C1">
      <w:r>
        <w:br w:type="page"/>
      </w:r>
    </w:p>
    <w:p w14:paraId="304913FB">
      <w:pPr>
        <w:spacing w:before="240" w:after="120" w:line="360" w:lineRule="auto"/>
        <w:ind w:firstLine="0"/>
        <w:jc w:val="center"/>
        <w:rPr>
          <w:rFonts w:ascii="黑体" w:hAnsi="黑体" w:eastAsia="黑体" w:cs="黑体"/>
          <w:b/>
          <w:bCs/>
          <w:sz w:val="32"/>
          <w:szCs w:val="32"/>
        </w:rPr>
      </w:pPr>
      <w:r>
        <w:rPr>
          <w:rFonts w:ascii="黑体" w:hAnsi="黑体" w:eastAsia="黑体" w:cs="黑体"/>
          <w:b/>
          <w:bCs/>
          <w:sz w:val="32"/>
          <w:szCs w:val="32"/>
        </w:rPr>
        <w:t>***二级学科（方向）培养方案</w:t>
      </w:r>
    </w:p>
    <w:p w14:paraId="46FC017C">
      <w:pPr>
        <w:spacing w:before="0" w:after="120" w:line="360" w:lineRule="auto"/>
        <w:jc w:val="center"/>
        <w:rPr>
          <w:rFonts w:ascii="宋体" w:hAnsi="宋体" w:eastAsia="宋体" w:cs="宋体"/>
          <w:b w:val="0"/>
          <w:bCs w:val="0"/>
          <w:sz w:val="24"/>
          <w:szCs w:val="24"/>
        </w:rPr>
      </w:pPr>
      <w:r>
        <w:rPr>
          <w:rFonts w:ascii="宋体" w:hAnsi="宋体" w:eastAsia="宋体" w:cs="宋体"/>
          <w:b w:val="0"/>
          <w:bCs w:val="0"/>
          <w:sz w:val="24"/>
          <w:szCs w:val="24"/>
        </w:rPr>
        <w:t>（</w:t>
      </w:r>
      <w:r>
        <w:rPr>
          <w:rFonts w:hint="eastAsia" w:cs="宋体"/>
          <w:b w:val="0"/>
          <w:bCs w:val="0"/>
          <w:sz w:val="24"/>
          <w:szCs w:val="24"/>
          <w:lang w:val="en-US" w:eastAsia="zh-CN"/>
        </w:rPr>
        <w:t>二</w:t>
      </w:r>
      <w:r>
        <w:rPr>
          <w:rFonts w:ascii="宋体" w:hAnsi="宋体" w:eastAsia="宋体" w:cs="宋体"/>
          <w:b w:val="0"/>
          <w:bCs w:val="0"/>
          <w:sz w:val="24"/>
          <w:szCs w:val="24"/>
        </w:rPr>
        <w:t>级学科名称   代码   ）</w:t>
      </w:r>
    </w:p>
    <w:p w14:paraId="34A61253">
      <w:pPr>
        <w:spacing w:before="0" w:after="60" w:line="360" w:lineRule="auto"/>
        <w:ind w:firstLine="480"/>
        <w:jc w:val="both"/>
      </w:pPr>
      <w:r>
        <w:rPr>
          <w:rFonts w:ascii="宋体" w:hAnsi="宋体" w:eastAsia="宋体" w:cs="宋体"/>
          <w:b w:val="0"/>
          <w:bCs w:val="0"/>
          <w:sz w:val="24"/>
          <w:szCs w:val="24"/>
        </w:rPr>
        <w:t>在一级学科基础上提出对于本学科方向的具体要求，可结合一级学科（一级方案）各条目与体例进行撰写。</w:t>
      </w:r>
    </w:p>
    <w:p w14:paraId="0A01918E">
      <w:pPr>
        <w:spacing w:before="60" w:after="80" w:line="320" w:lineRule="auto"/>
        <w:ind w:firstLine="480"/>
        <w:jc w:val="both"/>
        <w:rPr>
          <w:rFonts w:ascii="仿宋" w:hAnsi="仿宋" w:eastAsia="仿宋" w:cs="仿宋"/>
          <w:color w:val="404040"/>
          <w:sz w:val="21"/>
          <w:szCs w:val="21"/>
        </w:rPr>
      </w:pPr>
      <w:r>
        <w:rPr>
          <w:rFonts w:ascii="黑体" w:hAnsi="黑体" w:eastAsia="黑体" w:cs="黑体"/>
          <w:b/>
          <w:bCs/>
          <w:color w:val="C00000"/>
          <w:sz w:val="21"/>
          <w:szCs w:val="21"/>
        </w:rPr>
        <w:t>【撰写要求】</w:t>
      </w:r>
      <w:r>
        <w:rPr>
          <w:rFonts w:ascii="仿宋" w:hAnsi="仿宋" w:eastAsia="仿宋" w:cs="仿宋"/>
          <w:color w:val="404040"/>
          <w:sz w:val="21"/>
          <w:szCs w:val="21"/>
        </w:rPr>
        <w:t>二级学科（方向）培养方案应在一级学科培养方案框架下制定，重点体现方向特色和差异化培养定位。可对照一级学科培养方案的各条目撰写本方向的具体要求，包括：①学科简介中本方向的特色描述；②培养目标中本方向的学术定位；③研究方向的细化；④课程设置中本方向特色课程；⑤文献阅读、科研实践的具体要求；⑥学位论文选题方向的限定。</w:t>
      </w:r>
    </w:p>
    <w:p w14:paraId="288A3854">
      <w:pPr>
        <w:spacing w:before="0" w:after="0"/>
      </w:pPr>
    </w:p>
    <w:p w14:paraId="6E11EABF">
      <w:pPr>
        <w:spacing w:before="0" w:after="0"/>
      </w:pPr>
    </w:p>
    <w:p w14:paraId="1F5AA75D">
      <w:pPr>
        <w:spacing w:before="0" w:after="60" w:line="360" w:lineRule="auto"/>
        <w:ind w:firstLine="0"/>
        <w:jc w:val="center"/>
        <w:rPr>
          <w:rFonts w:hint="eastAsia" w:eastAsia="宋体"/>
          <w:lang w:eastAsia="zh-CN"/>
        </w:rPr>
      </w:pPr>
      <w:r>
        <w:rPr>
          <w:rFonts w:hint="eastAsia" w:cs="宋体"/>
          <w:b w:val="0"/>
          <w:bCs w:val="0"/>
          <w:sz w:val="24"/>
          <w:szCs w:val="24"/>
          <w:lang w:val="en-US" w:eastAsia="zh-CN"/>
        </w:rPr>
        <w:t xml:space="preserve">                                              </w:t>
      </w:r>
      <w:r>
        <w:rPr>
          <w:rFonts w:ascii="宋体" w:hAnsi="宋体" w:eastAsia="宋体" w:cs="宋体"/>
          <w:b w:val="0"/>
          <w:bCs w:val="0"/>
          <w:sz w:val="24"/>
          <w:szCs w:val="24"/>
        </w:rPr>
        <w:t>执笔人</w:t>
      </w:r>
      <w:r>
        <w:rPr>
          <w:rFonts w:hint="eastAsia" w:cs="宋体"/>
          <w:b w:val="0"/>
          <w:bCs w:val="0"/>
          <w:sz w:val="24"/>
          <w:szCs w:val="24"/>
          <w:lang w:eastAsia="zh-CN"/>
        </w:rPr>
        <w:t>：</w:t>
      </w:r>
    </w:p>
    <w:p w14:paraId="2F855476">
      <w:pPr>
        <w:spacing w:before="0" w:after="60" w:line="360" w:lineRule="auto"/>
        <w:ind w:firstLine="0"/>
        <w:jc w:val="right"/>
      </w:pPr>
      <w:r>
        <w:rPr>
          <w:rFonts w:ascii="宋体" w:hAnsi="宋体" w:eastAsia="宋体" w:cs="宋体"/>
          <w:b w:val="0"/>
          <w:bCs w:val="0"/>
          <w:sz w:val="24"/>
          <w:szCs w:val="24"/>
        </w:rPr>
        <w:t xml:space="preserve">        制（修）</w:t>
      </w:r>
      <w:r>
        <w:rPr>
          <w:rFonts w:hint="eastAsia" w:cs="宋体"/>
          <w:b w:val="0"/>
          <w:bCs w:val="0"/>
          <w:sz w:val="24"/>
          <w:szCs w:val="24"/>
          <w:lang w:val="en-US" w:eastAsia="zh-CN"/>
        </w:rPr>
        <w:t>定</w:t>
      </w:r>
      <w:r>
        <w:rPr>
          <w:rFonts w:ascii="宋体" w:hAnsi="宋体" w:eastAsia="宋体" w:cs="宋体"/>
          <w:b w:val="0"/>
          <w:bCs w:val="0"/>
          <w:sz w:val="24"/>
          <w:szCs w:val="24"/>
        </w:rPr>
        <w:t>日期：</w:t>
      </w:r>
    </w:p>
    <w:p w14:paraId="6688E449">
      <w:pPr>
        <w:spacing w:before="0" w:after="0"/>
      </w:pPr>
    </w:p>
    <w:p w14:paraId="2CD4B90D">
      <w:r>
        <w:br w:type="page"/>
      </w:r>
    </w:p>
    <w:p w14:paraId="521BCC40">
      <w:pPr>
        <w:spacing w:before="240" w:after="120" w:line="360" w:lineRule="auto"/>
        <w:ind w:firstLine="0"/>
        <w:jc w:val="left"/>
        <w:rPr>
          <w:rFonts w:hint="eastAsia" w:eastAsia="黑体"/>
          <w:color w:val="FF0000"/>
          <w:lang w:eastAsia="zh-CN"/>
        </w:rPr>
      </w:pPr>
      <w:r>
        <w:rPr>
          <w:rFonts w:ascii="黑体" w:hAnsi="黑体" w:eastAsia="黑体" w:cs="黑体"/>
          <w:b/>
          <w:bCs/>
          <w:color w:val="FF0000"/>
          <w:sz w:val="32"/>
          <w:szCs w:val="32"/>
        </w:rPr>
        <w:t>附：相关政策与制度文件目录</w:t>
      </w:r>
    </w:p>
    <w:p w14:paraId="1A9399C0">
      <w:pPr>
        <w:spacing w:before="0" w:after="60" w:line="360" w:lineRule="auto"/>
        <w:ind w:firstLine="0"/>
        <w:jc w:val="both"/>
      </w:pPr>
      <w:r>
        <w:rPr>
          <w:rFonts w:ascii="宋体" w:hAnsi="宋体" w:eastAsia="宋体" w:cs="宋体"/>
          <w:b w:val="0"/>
          <w:bCs w:val="0"/>
          <w:sz w:val="24"/>
          <w:szCs w:val="24"/>
        </w:rPr>
        <w:t>以下文件作为本培养方案的制度依据，如文件更新则以最新版本为准：</w:t>
      </w:r>
    </w:p>
    <w:p w14:paraId="72D66744">
      <w:pPr>
        <w:spacing w:before="0" w:after="60" w:line="360" w:lineRule="auto"/>
        <w:ind w:firstLine="0"/>
        <w:jc w:val="both"/>
      </w:pPr>
      <w:r>
        <w:rPr>
          <w:rFonts w:ascii="宋体" w:hAnsi="宋体" w:eastAsia="宋体" w:cs="宋体"/>
          <w:b w:val="0"/>
          <w:bCs w:val="0"/>
          <w:sz w:val="24"/>
          <w:szCs w:val="24"/>
        </w:rPr>
        <w:t>1.《中华人民共和国学位法》（2025年1月1日起施行）</w:t>
      </w:r>
    </w:p>
    <w:p w14:paraId="64AB154C">
      <w:pPr>
        <w:spacing w:before="0" w:after="60" w:line="360" w:lineRule="auto"/>
        <w:ind w:firstLine="0"/>
        <w:jc w:val="both"/>
      </w:pPr>
      <w:r>
        <w:rPr>
          <w:rFonts w:ascii="宋体" w:hAnsi="宋体" w:eastAsia="宋体" w:cs="宋体"/>
          <w:b w:val="0"/>
          <w:bCs w:val="0"/>
          <w:sz w:val="24"/>
          <w:szCs w:val="24"/>
        </w:rPr>
        <w:t>2.教育部《关于深入推进学术学位与专业学位教育分类发展的意见》（教研〔2023〕2号）</w:t>
      </w:r>
    </w:p>
    <w:p w14:paraId="45A60FE6">
      <w:pPr>
        <w:spacing w:before="0" w:after="60" w:line="360" w:lineRule="auto"/>
        <w:ind w:firstLine="0"/>
        <w:jc w:val="both"/>
      </w:pPr>
      <w:r>
        <w:rPr>
          <w:rFonts w:ascii="宋体" w:hAnsi="宋体" w:eastAsia="宋体" w:cs="宋体"/>
          <w:b w:val="0"/>
          <w:bCs w:val="0"/>
          <w:sz w:val="24"/>
          <w:szCs w:val="24"/>
        </w:rPr>
        <w:t>3.教育部《研究生教育学科专业简介及其学位基本要求（试行版）》</w:t>
      </w:r>
    </w:p>
    <w:p w14:paraId="19CC4963">
      <w:pPr>
        <w:spacing w:before="0" w:after="60" w:line="360" w:lineRule="auto"/>
        <w:ind w:firstLine="0"/>
        <w:jc w:val="both"/>
      </w:pPr>
      <w:r>
        <w:rPr>
          <w:rFonts w:ascii="宋体" w:hAnsi="宋体" w:eastAsia="宋体" w:cs="宋体"/>
          <w:b w:val="0"/>
          <w:bCs w:val="0"/>
          <w:sz w:val="24"/>
          <w:szCs w:val="24"/>
        </w:rPr>
        <w:t>4.教育部《学术学位研究生核心课程指南（试行）》</w:t>
      </w:r>
    </w:p>
    <w:p w14:paraId="2917ED2D">
      <w:pPr>
        <w:spacing w:before="0" w:after="60" w:line="360" w:lineRule="auto"/>
        <w:ind w:firstLine="0"/>
        <w:jc w:val="both"/>
      </w:pPr>
      <w:r>
        <w:rPr>
          <w:rFonts w:ascii="宋体" w:hAnsi="宋体" w:eastAsia="宋体" w:cs="宋体"/>
          <w:b w:val="0"/>
          <w:bCs w:val="0"/>
          <w:sz w:val="24"/>
          <w:szCs w:val="24"/>
        </w:rPr>
        <w:t>5.《南京中医药大学研究生学位论文与申请学位实践成果开题管理办法》（南中医大研字〔2025〕25号）</w:t>
      </w:r>
    </w:p>
    <w:p w14:paraId="70303F3C">
      <w:pPr>
        <w:spacing w:before="0" w:after="60" w:line="360" w:lineRule="auto"/>
        <w:ind w:firstLine="0"/>
        <w:jc w:val="both"/>
      </w:pPr>
      <w:r>
        <w:rPr>
          <w:rFonts w:ascii="宋体" w:hAnsi="宋体" w:eastAsia="宋体" w:cs="宋体"/>
          <w:b w:val="0"/>
          <w:bCs w:val="0"/>
          <w:sz w:val="24"/>
          <w:szCs w:val="24"/>
        </w:rPr>
        <w:t>6.《南京中医药大学研究生中期考核管理办法》（南中医大研字〔2025〕26号）</w:t>
      </w:r>
    </w:p>
    <w:p w14:paraId="290CF088">
      <w:pPr>
        <w:spacing w:before="0" w:after="60" w:line="360" w:lineRule="auto"/>
        <w:ind w:firstLine="0"/>
        <w:jc w:val="both"/>
      </w:pPr>
      <w:r>
        <w:rPr>
          <w:rFonts w:ascii="宋体" w:hAnsi="宋体" w:eastAsia="宋体" w:cs="宋体"/>
          <w:b w:val="0"/>
          <w:bCs w:val="0"/>
          <w:sz w:val="24"/>
          <w:szCs w:val="24"/>
        </w:rPr>
        <w:t>7.《南京中医药大学研究生学位论文或申请学位实践成果评阅与质量管理办法》（南中医大研字〔2025〕24号）</w:t>
      </w:r>
    </w:p>
    <w:p w14:paraId="422FF55D">
      <w:pPr>
        <w:spacing w:before="0" w:after="60" w:line="360" w:lineRule="auto"/>
        <w:ind w:firstLine="0"/>
        <w:jc w:val="both"/>
        <w:rPr>
          <w:rFonts w:ascii="宋体" w:hAnsi="宋体" w:eastAsia="宋体" w:cs="宋体"/>
          <w:b w:val="0"/>
          <w:bCs w:val="0"/>
          <w:sz w:val="24"/>
          <w:szCs w:val="24"/>
        </w:rPr>
      </w:pPr>
      <w:r>
        <w:rPr>
          <w:rFonts w:ascii="宋体" w:hAnsi="宋体" w:eastAsia="宋体" w:cs="宋体"/>
          <w:b w:val="0"/>
          <w:bCs w:val="0"/>
          <w:sz w:val="24"/>
          <w:szCs w:val="24"/>
        </w:rPr>
        <w:t>8.《南京中医药大学研究生培养方案修订工作规程》（南中医大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〕2号）</w:t>
      </w:r>
    </w:p>
    <w:p w14:paraId="6D2D6B3C">
      <w:pPr>
        <w:spacing w:before="0" w:after="60" w:line="360" w:lineRule="auto"/>
        <w:ind w:firstLine="0"/>
        <w:jc w:val="both"/>
        <w:rPr>
          <w:rFonts w:hint="eastAsia" w:eastAsia="宋体"/>
          <w:lang w:eastAsia="zh-CN"/>
        </w:rPr>
      </w:pPr>
      <w:r>
        <w:rPr>
          <w:rFonts w:ascii="宋体" w:hAnsi="宋体" w:eastAsia="宋体" w:cs="宋体"/>
          <w:b w:val="0"/>
          <w:bCs w:val="0"/>
          <w:sz w:val="24"/>
          <w:szCs w:val="24"/>
        </w:rPr>
        <w:t>9.</w:t>
      </w:r>
      <w:r>
        <w:rPr>
          <w:rFonts w:hint="eastAsia" w:cs="宋体"/>
          <w:b w:val="0"/>
          <w:bCs w:val="0"/>
          <w:sz w:val="24"/>
          <w:szCs w:val="24"/>
          <w:lang w:eastAsia="zh-CN"/>
        </w:rPr>
        <w:t>《南京中医药大学学术学位研究生培养方案制（修）定指导意见》</w:t>
      </w:r>
      <w:r>
        <w:rPr>
          <w:rFonts w:ascii="宋体" w:hAnsi="宋体" w:eastAsia="宋体" w:cs="宋体"/>
          <w:b w:val="0"/>
          <w:bCs w:val="0"/>
          <w:sz w:val="24"/>
          <w:szCs w:val="24"/>
        </w:rPr>
        <w:t>（南中医大</w:t>
      </w:r>
      <w:r>
        <w:rPr>
          <w:rFonts w:hint="eastAsia" w:cs="宋体"/>
          <w:b w:val="0"/>
          <w:bCs w:val="0"/>
          <w:sz w:val="24"/>
          <w:szCs w:val="24"/>
          <w:lang w:val="en-US" w:eastAsia="zh-CN"/>
        </w:rPr>
        <w:t>研究生院</w:t>
      </w:r>
      <w:r>
        <w:rPr>
          <w:rFonts w:ascii="宋体" w:hAnsi="宋体" w:eastAsia="宋体" w:cs="宋体"/>
          <w:b w:val="0"/>
          <w:bCs w:val="0"/>
          <w:sz w:val="24"/>
          <w:szCs w:val="24"/>
        </w:rPr>
        <w:t>〔202</w:t>
      </w:r>
      <w:r>
        <w:rPr>
          <w:rFonts w:hint="eastAsia" w:cs="宋体"/>
          <w:b w:val="0"/>
          <w:bCs w:val="0"/>
          <w:sz w:val="24"/>
          <w:szCs w:val="24"/>
          <w:lang w:val="en-US" w:eastAsia="zh-CN"/>
        </w:rPr>
        <w:t>6</w:t>
      </w:r>
      <w:r>
        <w:rPr>
          <w:rFonts w:ascii="宋体" w:hAnsi="宋体" w:eastAsia="宋体" w:cs="宋体"/>
          <w:b w:val="0"/>
          <w:bCs w:val="0"/>
          <w:sz w:val="24"/>
          <w:szCs w:val="24"/>
        </w:rPr>
        <w:t>〕</w:t>
      </w:r>
      <w:r>
        <w:rPr>
          <w:rFonts w:hint="eastAsia" w:cs="宋体"/>
          <w:b w:val="0"/>
          <w:bCs w:val="0"/>
          <w:sz w:val="24"/>
          <w:szCs w:val="24"/>
          <w:lang w:val="en-US" w:eastAsia="zh-CN"/>
        </w:rPr>
        <w:t>4</w:t>
      </w:r>
      <w:r>
        <w:rPr>
          <w:rFonts w:ascii="宋体" w:hAnsi="宋体" w:eastAsia="宋体" w:cs="宋体"/>
          <w:b w:val="0"/>
          <w:bCs w:val="0"/>
          <w:sz w:val="24"/>
          <w:szCs w:val="24"/>
        </w:rPr>
        <w:t>号）</w:t>
      </w:r>
    </w:p>
    <w:p w14:paraId="777FCDDA">
      <w:pPr>
        <w:spacing w:before="0" w:after="60" w:line="360" w:lineRule="auto"/>
        <w:ind w:firstLine="0"/>
        <w:jc w:val="both"/>
      </w:pPr>
      <w:r>
        <w:rPr>
          <w:rFonts w:ascii="宋体" w:hAnsi="宋体" w:eastAsia="宋体" w:cs="宋体"/>
          <w:b w:val="0"/>
          <w:bCs w:val="0"/>
          <w:sz w:val="24"/>
          <w:szCs w:val="24"/>
        </w:rPr>
        <w:t>10.《南京中医药大学研究生毕业与学位授予管理办法》（南中医大研字〔2025〕2</w:t>
      </w:r>
      <w:r>
        <w:rPr>
          <w:rFonts w:hint="eastAsia" w:cs="宋体"/>
          <w:b w:val="0"/>
          <w:bCs w:val="0"/>
          <w:sz w:val="24"/>
          <w:szCs w:val="24"/>
          <w:lang w:val="en-US" w:eastAsia="zh-CN"/>
        </w:rPr>
        <w:t>3</w:t>
      </w:r>
      <w:r>
        <w:rPr>
          <w:rFonts w:ascii="宋体" w:hAnsi="宋体" w:eastAsia="宋体" w:cs="宋体"/>
          <w:b w:val="0"/>
          <w:bCs w:val="0"/>
          <w:sz w:val="24"/>
          <w:szCs w:val="24"/>
        </w:rPr>
        <w:t>号）</w:t>
      </w:r>
    </w:p>
    <w:p w14:paraId="4D3B75CC">
      <w:pPr>
        <w:spacing w:before="0" w:after="60" w:line="360" w:lineRule="auto"/>
        <w:ind w:firstLine="0"/>
        <w:jc w:val="both"/>
        <w:rPr>
          <w:rFonts w:hint="eastAsia" w:eastAsia="宋体"/>
          <w:lang w:eastAsia="zh-CN"/>
        </w:rPr>
      </w:pPr>
      <w:r>
        <w:rPr>
          <w:rFonts w:ascii="宋体" w:hAnsi="宋体" w:eastAsia="宋体" w:cs="宋体"/>
          <w:b w:val="0"/>
          <w:bCs w:val="0"/>
          <w:sz w:val="24"/>
          <w:szCs w:val="24"/>
        </w:rPr>
        <w:t>11.《南京中医药大学研究生学籍管理</w:t>
      </w:r>
      <w:r>
        <w:rPr>
          <w:rFonts w:hint="eastAsia" w:cs="宋体"/>
          <w:b w:val="0"/>
          <w:bCs w:val="0"/>
          <w:sz w:val="24"/>
          <w:szCs w:val="24"/>
          <w:lang w:val="en-US" w:eastAsia="zh-CN"/>
        </w:rPr>
        <w:t>实施细则</w:t>
      </w:r>
      <w:r>
        <w:rPr>
          <w:rFonts w:ascii="宋体" w:hAnsi="宋体" w:eastAsia="宋体" w:cs="宋体"/>
          <w:b w:val="0"/>
          <w:bCs w:val="0"/>
          <w:sz w:val="24"/>
          <w:szCs w:val="24"/>
        </w:rPr>
        <w:t>》（南中医大研字〔2025〕2</w:t>
      </w:r>
      <w:r>
        <w:rPr>
          <w:rFonts w:hint="eastAsia" w:cs="宋体"/>
          <w:b w:val="0"/>
          <w:bCs w:val="0"/>
          <w:sz w:val="24"/>
          <w:szCs w:val="24"/>
          <w:lang w:val="en-US" w:eastAsia="zh-CN"/>
        </w:rPr>
        <w:t>9</w:t>
      </w:r>
      <w:r>
        <w:rPr>
          <w:rFonts w:ascii="宋体" w:hAnsi="宋体" w:eastAsia="宋体" w:cs="宋体"/>
          <w:b w:val="0"/>
          <w:bCs w:val="0"/>
          <w:sz w:val="24"/>
          <w:szCs w:val="24"/>
        </w:rPr>
        <w:t>号）</w:t>
      </w:r>
    </w:p>
    <w:p w14:paraId="3660869E">
      <w:pPr>
        <w:spacing w:before="0" w:after="60" w:line="360" w:lineRule="auto"/>
        <w:ind w:firstLine="0"/>
        <w:jc w:val="both"/>
      </w:pPr>
      <w:r>
        <w:rPr>
          <w:rFonts w:ascii="宋体" w:hAnsi="宋体" w:eastAsia="宋体" w:cs="宋体"/>
          <w:b w:val="0"/>
          <w:bCs w:val="0"/>
          <w:sz w:val="24"/>
          <w:szCs w:val="24"/>
        </w:rPr>
        <w:t>12.《南京中医药大学研究生课程教学管理办法》（南中医大研字〔2025〕2</w:t>
      </w:r>
      <w:r>
        <w:rPr>
          <w:rFonts w:hint="eastAsia" w:cs="宋体"/>
          <w:b w:val="0"/>
          <w:bCs w:val="0"/>
          <w:sz w:val="24"/>
          <w:szCs w:val="24"/>
          <w:lang w:val="en-US" w:eastAsia="zh-CN"/>
        </w:rPr>
        <w:t>8</w:t>
      </w:r>
      <w:r>
        <w:rPr>
          <w:rFonts w:ascii="宋体" w:hAnsi="宋体" w:eastAsia="宋体" w:cs="宋体"/>
          <w:b w:val="0"/>
          <w:bCs w:val="0"/>
          <w:sz w:val="24"/>
          <w:szCs w:val="24"/>
        </w:rPr>
        <w:t>号）</w:t>
      </w:r>
    </w:p>
    <w:p w14:paraId="4D9F5C68">
      <w:pPr>
        <w:spacing w:before="0" w:after="60" w:line="360" w:lineRule="auto"/>
        <w:ind w:firstLine="0"/>
        <w:jc w:val="both"/>
        <w:rPr>
          <w:rFonts w:ascii="宋体" w:hAnsi="宋体" w:eastAsia="宋体" w:cs="宋体"/>
          <w:b w:val="0"/>
          <w:bCs w:val="0"/>
          <w:sz w:val="24"/>
          <w:szCs w:val="24"/>
        </w:rPr>
      </w:pPr>
    </w:p>
    <w:p w14:paraId="7E052B6A">
      <w:pPr>
        <w:spacing w:before="0" w:after="60" w:line="360" w:lineRule="auto"/>
        <w:ind w:firstLine="0"/>
        <w:jc w:val="both"/>
      </w:pPr>
    </w:p>
    <w:p w14:paraId="1F2D955D">
      <w:pPr>
        <w:spacing w:before="0" w:after="60" w:line="360" w:lineRule="auto"/>
        <w:ind w:firstLine="0"/>
        <w:jc w:val="both"/>
      </w:pPr>
    </w:p>
    <w:p w14:paraId="0843033F">
      <w:r>
        <w:br w:type="page"/>
      </w:r>
    </w:p>
    <w:p w14:paraId="78538A4A">
      <w:pPr>
        <w:spacing w:before="156" w:beforeLines="50" w:after="156" w:afterLines="50" w:line="400" w:lineRule="exact"/>
        <w:jc w:val="center"/>
        <w:rPr>
          <w:rFonts w:hint="eastAsia" w:ascii="黑体" w:hAnsi="黑体" w:eastAsia="黑体"/>
          <w:sz w:val="24"/>
          <w:szCs w:val="24"/>
          <w:lang w:eastAsia="zh-CN"/>
        </w:rPr>
      </w:pPr>
      <w:r>
        <w:rPr>
          <w:rFonts w:hint="eastAsia" w:ascii="黑体" w:hAnsi="黑体" w:eastAsia="黑体"/>
          <w:sz w:val="24"/>
          <w:szCs w:val="24"/>
          <w:lang w:val="en-US" w:eastAsia="zh-CN"/>
        </w:rPr>
        <w:t>2026级***全日制学术学位硕/博士研究生课程设置</w:t>
      </w:r>
      <w:r>
        <w:rPr>
          <w:rFonts w:hint="eastAsia" w:ascii="Times New Roman" w:hAnsi="Times New Roman" w:eastAsia="黑体" w:cs="Times New Roman"/>
          <w:sz w:val="24"/>
          <w:szCs w:val="24"/>
          <w:lang w:val="en-US" w:eastAsia="zh-CN"/>
        </w:rPr>
        <w:t>与主要环节学分要求</w:t>
      </w:r>
    </w:p>
    <w:tbl>
      <w:tblPr>
        <w:tblStyle w:val="12"/>
        <w:tblW w:w="945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145"/>
        <w:gridCol w:w="1439"/>
        <w:gridCol w:w="1164"/>
        <w:gridCol w:w="2712"/>
        <w:gridCol w:w="576"/>
        <w:gridCol w:w="492"/>
        <w:gridCol w:w="480"/>
        <w:gridCol w:w="1444"/>
      </w:tblGrid>
      <w:tr w14:paraId="7876B1B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45"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12507209">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2BC30141">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类别</w:t>
            </w:r>
          </w:p>
        </w:tc>
        <w:tc>
          <w:tcPr>
            <w:tcW w:w="1439"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2BF27A5F">
            <w:pPr>
              <w:widowControl w:val="0"/>
              <w:snapToGrid w:val="0"/>
              <w:spacing w:before="0" w:beforeLines="-2147483648" w:line="360" w:lineRule="auto"/>
              <w:ind w:left="0" w:leftChars="0" w:right="0" w:rightChars="0" w:firstLine="0" w:firstLineChars="0"/>
              <w:jc w:val="center"/>
              <w:rPr>
                <w:rFonts w:hint="default"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课程性质</w:t>
            </w:r>
          </w:p>
        </w:tc>
        <w:tc>
          <w:tcPr>
            <w:tcW w:w="1164"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7A93715A">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w:t>
            </w:r>
          </w:p>
          <w:p w14:paraId="3A00738B">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代码</w:t>
            </w:r>
          </w:p>
        </w:tc>
        <w:tc>
          <w:tcPr>
            <w:tcW w:w="271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03377630">
            <w:pPr>
              <w:widowControl w:val="0"/>
              <w:snapToGrid w:val="0"/>
              <w:spacing w:before="0" w:beforeLines="-2147483648" w:line="360" w:lineRule="auto"/>
              <w:ind w:left="0" w:leftChars="0" w:right="0" w:rightChars="0" w:firstLine="0" w:firstLineChars="0"/>
              <w:jc w:val="center"/>
              <w:rPr>
                <w:rFonts w:ascii="仿宋" w:hAnsi="Calibri" w:eastAsia="仿宋" w:cs="Times New Roman"/>
                <w:b/>
                <w:kern w:val="2"/>
                <w:sz w:val="24"/>
                <w:vertAlign w:val="baseline"/>
                <w:lang w:val="en-US" w:eastAsia="zh-CN" w:bidi="ar-SA"/>
              </w:rPr>
            </w:pPr>
            <w:r>
              <w:rPr>
                <w:rFonts w:hint="eastAsia" w:ascii="仿宋" w:hAnsi="仿宋" w:eastAsia="仿宋" w:cs="仿宋"/>
                <w:b/>
                <w:bCs/>
                <w:kern w:val="2"/>
                <w:sz w:val="24"/>
                <w:szCs w:val="24"/>
                <w:vertAlign w:val="baseline"/>
                <w:lang w:val="en-US" w:eastAsia="zh-CN" w:bidi="ar-SA"/>
              </w:rPr>
              <w:t>课程名称</w:t>
            </w:r>
          </w:p>
        </w:tc>
        <w:tc>
          <w:tcPr>
            <w:tcW w:w="576"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37EE3484">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学时</w:t>
            </w:r>
          </w:p>
        </w:tc>
        <w:tc>
          <w:tcPr>
            <w:tcW w:w="49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4656B3AC">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学分</w:t>
            </w:r>
          </w:p>
        </w:tc>
        <w:tc>
          <w:tcPr>
            <w:tcW w:w="480"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31370BDD">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学期</w:t>
            </w:r>
          </w:p>
        </w:tc>
        <w:tc>
          <w:tcPr>
            <w:tcW w:w="1444"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67BE9BB5">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备注</w:t>
            </w:r>
          </w:p>
        </w:tc>
      </w:tr>
      <w:tr w14:paraId="25B3C20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restart"/>
            <w:tcBorders>
              <w:top w:val="single" w:color="auto" w:sz="4" w:space="0"/>
              <w:left w:val="single" w:color="auto" w:sz="12" w:space="0"/>
              <w:bottom w:val="nil"/>
              <w:right w:val="nil"/>
            </w:tcBorders>
            <w:noWrap w:val="0"/>
            <w:tcMar>
              <w:top w:w="-1" w:type="dxa"/>
              <w:left w:w="-1" w:type="dxa"/>
              <w:bottom w:w="-1" w:type="dxa"/>
              <w:right w:w="-1" w:type="dxa"/>
            </w:tcMar>
            <w:textDirection w:val="tbLrV"/>
            <w:vAlign w:val="center"/>
          </w:tcPr>
          <w:p w14:paraId="4987DB26">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学位课</w:t>
            </w:r>
            <w:r>
              <w:rPr>
                <w:rFonts w:hint="eastAsia" w:ascii="仿宋" w:hAnsi="仿宋" w:eastAsia="仿宋" w:cs="仿宋"/>
                <w:b/>
                <w:bCs/>
                <w:color w:val="auto"/>
                <w:kern w:val="2"/>
                <w:sz w:val="24"/>
                <w:szCs w:val="24"/>
                <w:lang w:val="en-US" w:eastAsia="zh-CN" w:bidi="ar-SA"/>
              </w:rPr>
              <w:t>（*</w:t>
            </w:r>
            <w:r>
              <w:rPr>
                <w:rFonts w:hint="eastAsia" w:ascii="仿宋" w:hAnsi="仿宋" w:eastAsia="仿宋" w:cs="仿宋"/>
                <w:b/>
                <w:bCs/>
                <w:kern w:val="2"/>
                <w:sz w:val="24"/>
                <w:szCs w:val="24"/>
                <w:lang w:val="en-US" w:eastAsia="zh-CN" w:bidi="ar-SA"/>
              </w:rPr>
              <w:t>学分）</w:t>
            </w:r>
          </w:p>
          <w:p w14:paraId="27A9F91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42909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公共必修课</w:t>
            </w:r>
          </w:p>
          <w:p w14:paraId="0DF6C74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（*学分）</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0D83A4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4DF527">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公共英语</w:t>
            </w: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57102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3A72D5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0E90FC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90EC27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0F3722F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9EBEE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24F74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3271C0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D3AE78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4"/>
                <w:vertAlign w:val="baseline"/>
                <w:lang w:val="en-US" w:eastAsia="zh-CN" w:bidi="ar-SA"/>
              </w:rPr>
              <w:t>政治课</w:t>
            </w: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C891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39933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F1888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29ACC3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EE3CC1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373045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158004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947DAA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B002018</w:t>
            </w:r>
          </w:p>
        </w:tc>
        <w:tc>
          <w:tcPr>
            <w:tcW w:w="27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B342063">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w:t>
            </w:r>
          </w:p>
        </w:tc>
        <w:tc>
          <w:tcPr>
            <w:tcW w:w="57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8D107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49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EEC921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480"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C16A2F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444"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4AF3E2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博士必修</w:t>
            </w:r>
          </w:p>
        </w:tc>
      </w:tr>
      <w:tr w14:paraId="229E59E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6BFCF4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0715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438C00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szCs w:val="21"/>
                <w:vertAlign w:val="baseline"/>
                <w:lang w:val="en-US" w:eastAsia="zh-CN" w:bidi="ar-SA"/>
              </w:rPr>
              <w:t>S010022</w:t>
            </w:r>
          </w:p>
        </w:tc>
        <w:tc>
          <w:tcPr>
            <w:tcW w:w="27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4B1EEB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人工智能前沿技术</w:t>
            </w:r>
          </w:p>
        </w:tc>
        <w:tc>
          <w:tcPr>
            <w:tcW w:w="576"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B80135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36</w:t>
            </w:r>
          </w:p>
        </w:tc>
        <w:tc>
          <w:tcPr>
            <w:tcW w:w="49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878F16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2</w:t>
            </w:r>
          </w:p>
        </w:tc>
        <w:tc>
          <w:tcPr>
            <w:tcW w:w="480"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C655AA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4"/>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444"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C0602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硕士必修</w:t>
            </w:r>
          </w:p>
        </w:tc>
      </w:tr>
      <w:tr w14:paraId="576754E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BEC740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00A1B90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02133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7C8D6B7">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E5939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80DEB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71CC4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CDE9B8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05AB468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0D4E17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FE2D0A">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专业基础课</w:t>
            </w:r>
          </w:p>
          <w:p w14:paraId="19EC346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009429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AF699B">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49FCF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811DA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EE3D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E89D8D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3BC89E2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F7FCCF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8B3BC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AD34E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D7E4D58">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C9D1A3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967C7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7703A9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E990EF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F3B3D0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799648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7BF7F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EF745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5D67D4">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46D27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53A99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D8928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5E41DD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D9EBA8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6CE43B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EFCD70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8AA3DF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38A8C3">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260EFE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0ED78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684D5C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01047E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6C1FA86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E8A4B5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B90D5EB">
            <w:pPr>
              <w:keepNext w:val="0"/>
              <w:keepLines w:val="0"/>
              <w:pageBreakBefore w:val="0"/>
              <w:widowControl w:val="0"/>
              <w:kinsoku/>
              <w:wordWrap/>
              <w:overflowPunct/>
              <w:topLinePunct w:val="0"/>
              <w:autoSpaceDE/>
              <w:autoSpaceDN/>
              <w:bidi w:val="0"/>
              <w:adjustRightInd/>
              <w:snapToGrid w:val="0"/>
              <w:spacing w:before="100" w:beforeLines="-2147483648" w:beforeAutospacing="1" w:line="360" w:lineRule="auto"/>
              <w:ind w:left="0" w:leftChars="0" w:right="0" w:rightChars="0" w:firstLine="0" w:firstLineChars="0"/>
              <w:jc w:val="center"/>
              <w:textAlignment w:val="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专业课</w:t>
            </w:r>
          </w:p>
          <w:p w14:paraId="3D30918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color w:val="auto"/>
                <w:kern w:val="2"/>
                <w:sz w:val="21"/>
                <w:szCs w:val="21"/>
                <w:lang w:val="en-US" w:eastAsia="zh-CN" w:bidi="ar-SA"/>
              </w:rPr>
              <w:t>（</w:t>
            </w:r>
            <w:r>
              <w:rPr>
                <w:rFonts w:hint="eastAsia" w:ascii="仿宋" w:hAnsi="仿宋" w:eastAsia="仿宋" w:cs="仿宋"/>
                <w:kern w:val="2"/>
                <w:sz w:val="21"/>
                <w:szCs w:val="21"/>
                <w:lang w:val="en-US" w:eastAsia="zh-CN" w:bidi="ar-SA"/>
              </w:rPr>
              <w:t>*学分）</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DCDA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B4A231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F1A0F6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C64A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4A8821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C88DF7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方向一</w:t>
            </w:r>
          </w:p>
        </w:tc>
      </w:tr>
      <w:tr w14:paraId="338085F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929DD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4F214A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AA0A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14BD21F">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016E2A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AD281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A4AAF0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56A34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1FD05D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2AB88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CE7D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04CE6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CD5D56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E53264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DE606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CD6EC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0CD6A4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方向二</w:t>
            </w:r>
          </w:p>
        </w:tc>
      </w:tr>
      <w:tr w14:paraId="2E8CEB4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7F0A5AA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88D560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BBC8E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2AB3DFA">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C0DA7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5F85AA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E78BF0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07AEDB8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40C3D51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67B71E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849B5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365953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B7A6A76">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62A6C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A1EA99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125FB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6DB290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方向三</w:t>
            </w:r>
          </w:p>
        </w:tc>
      </w:tr>
      <w:tr w14:paraId="7013BEA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5C4866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30BBB8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3F2FB9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0822CE">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203523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6F530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88FDB0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85BFEB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179ED4F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2C7E0F8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A70108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F504DA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493FBF5">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458B5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707405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30162C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restar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109415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方向四</w:t>
            </w:r>
          </w:p>
        </w:tc>
      </w:tr>
      <w:tr w14:paraId="088EC25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7D599F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0D4808C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3B949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90344D0">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46A7A5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AAD046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BA6410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vMerge w:val="continue"/>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0FA050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A1B688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D2FA8A5">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BDC11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4FF848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8B3D24">
            <w:pPr>
              <w:widowControl w:val="0"/>
              <w:snapToGrid w:val="0"/>
              <w:spacing w:before="0" w:beforeLines="-2147483648" w:line="360" w:lineRule="auto"/>
              <w:ind w:left="0" w:leftChars="0" w:right="0" w:rightChars="0" w:firstLine="0" w:firstLineChars="0"/>
              <w:jc w:val="left"/>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FDDE4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1BD93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197C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B7B41D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w:t>
            </w:r>
          </w:p>
        </w:tc>
      </w:tr>
      <w:tr w14:paraId="3A45F4D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DC3C25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4"/>
                <w:szCs w:val="24"/>
                <w:vertAlign w:val="baseline"/>
                <w:lang w:val="en-US" w:eastAsia="zh-CN" w:bidi="ar-SA"/>
              </w:rPr>
              <w:t>非学位课</w:t>
            </w:r>
          </w:p>
        </w:tc>
        <w:tc>
          <w:tcPr>
            <w:tcW w:w="1439" w:type="dxa"/>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1308DA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选修课</w:t>
            </w:r>
          </w:p>
          <w:p w14:paraId="44A8BCF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w:t>
            </w:r>
            <w:r>
              <w:rPr>
                <w:rFonts w:hint="eastAsia" w:ascii="仿宋" w:hAnsi="仿宋" w:eastAsia="仿宋" w:cs="仿宋"/>
                <w:kern w:val="2"/>
                <w:sz w:val="21"/>
                <w:szCs w:val="21"/>
                <w:lang w:val="en-US" w:eastAsia="zh-CN" w:bidi="ar-SA"/>
              </w:rPr>
              <w:t>*学分</w:t>
            </w:r>
            <w:r>
              <w:rPr>
                <w:rFonts w:hint="eastAsia" w:ascii="仿宋" w:hAnsi="仿宋" w:eastAsia="仿宋" w:cs="仿宋"/>
                <w:kern w:val="2"/>
                <w:sz w:val="21"/>
                <w:vertAlign w:val="baseline"/>
                <w:lang w:val="en-US" w:eastAsia="zh-CN" w:bidi="ar-SA"/>
              </w:rPr>
              <w:t>）</w:t>
            </w: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B4929A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292992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FC0FC0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CFBA8C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39EA8F4">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72C8F4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3160AE6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5732DC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6C541FA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90C6F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6C8F4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5EDC1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D93D4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A2F9F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3FC643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5A6DBDD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A58C53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73F81B">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091FCA8">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D42CC5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E678C3">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406D5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BEDC4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99C71E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2DAEA3C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90275D6">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39" w:type="dxa"/>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4E41E79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164"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A18DDC0">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271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6AAB3F">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76"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94414A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1F76F47">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480"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BDA58B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444"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556524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48DAEFF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restar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BF2F94D">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spacing w:val="-11"/>
                <w:kern w:val="2"/>
                <w:sz w:val="24"/>
                <w:szCs w:val="24"/>
                <w:vertAlign w:val="baseline"/>
                <w:lang w:val="en-US" w:eastAsia="zh-CN" w:bidi="ar-SA"/>
              </w:rPr>
              <w:t>必</w:t>
            </w:r>
            <w:r>
              <w:rPr>
                <w:rFonts w:hint="eastAsia" w:ascii="仿宋" w:hAnsi="仿宋" w:eastAsia="仿宋" w:cs="仿宋"/>
                <w:b/>
                <w:bCs/>
                <w:spacing w:val="-6"/>
                <w:kern w:val="2"/>
                <w:sz w:val="24"/>
                <w:szCs w:val="24"/>
                <w:vertAlign w:val="baseline"/>
                <w:lang w:val="en-US" w:eastAsia="zh-CN" w:bidi="ar-SA"/>
              </w:rPr>
              <w:t>修</w:t>
            </w:r>
            <w:r>
              <w:rPr>
                <w:rFonts w:hint="eastAsia" w:ascii="仿宋" w:hAnsi="仿宋" w:eastAsia="仿宋" w:cs="仿宋"/>
                <w:b/>
                <w:bCs/>
                <w:kern w:val="2"/>
                <w:sz w:val="24"/>
                <w:szCs w:val="24"/>
                <w:vertAlign w:val="baseline"/>
                <w:lang w:val="en-US" w:eastAsia="zh-CN" w:bidi="ar-SA"/>
              </w:rPr>
              <w:t>环节</w:t>
            </w:r>
          </w:p>
        </w:tc>
        <w:tc>
          <w:tcPr>
            <w:tcW w:w="5891"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1D868C2A">
            <w:pPr>
              <w:keepNext w:val="0"/>
              <w:keepLines w:val="0"/>
              <w:pageBreakBefore w:val="0"/>
              <w:widowControl w:val="0"/>
              <w:kinsoku/>
              <w:wordWrap/>
              <w:overflowPunct/>
              <w:topLinePunct w:val="0"/>
              <w:autoSpaceDE/>
              <w:autoSpaceDN/>
              <w:bidi w:val="0"/>
              <w:adjustRightInd/>
              <w:snapToGrid w:val="0"/>
              <w:spacing w:before="50" w:beforeLines="-2147483648" w:line="360" w:lineRule="auto"/>
              <w:ind w:left="0" w:leftChars="0" w:right="0" w:rightChars="0" w:firstLine="0" w:firstLineChars="0"/>
              <w:jc w:val="center"/>
              <w:textAlignment w:val="auto"/>
              <w:rPr>
                <w:rFonts w:hint="eastAsia" w:ascii="仿宋" w:hAnsi="仿宋" w:eastAsia="仿宋" w:cs="仿宋"/>
                <w:kern w:val="2"/>
                <w:sz w:val="21"/>
                <w:vertAlign w:val="baseline"/>
                <w:lang w:val="en-US" w:eastAsia="zh-CN" w:bidi="ar-SA"/>
              </w:rPr>
            </w:pPr>
            <w:r>
              <w:rPr>
                <w:rFonts w:hint="eastAsia" w:ascii="仿宋" w:hAnsi="仿宋" w:eastAsia="仿宋" w:cs="仿宋"/>
                <w:b w:val="0"/>
                <w:bCs w:val="0"/>
                <w:color w:val="auto"/>
                <w:kern w:val="2"/>
                <w:sz w:val="21"/>
                <w:szCs w:val="21"/>
                <w:lang w:val="en-US" w:eastAsia="zh-CN" w:bidi="ar-SA"/>
              </w:rPr>
              <w:t>示例：</w:t>
            </w:r>
            <w:r>
              <w:rPr>
                <w:rFonts w:hint="eastAsia" w:ascii="仿宋" w:hAnsi="仿宋" w:eastAsia="仿宋" w:cs="仿宋"/>
                <w:b w:val="0"/>
                <w:bCs w:val="0"/>
                <w:kern w:val="2"/>
                <w:sz w:val="21"/>
                <w:szCs w:val="21"/>
                <w:lang w:val="en-US" w:eastAsia="zh-CN" w:bidi="ar-SA"/>
              </w:rPr>
              <w:t>学术讲座</w:t>
            </w: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A56BD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924"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63A65F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r>
      <w:tr w14:paraId="7E95999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72524C1">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891"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13669C33">
            <w:pPr>
              <w:widowControl w:val="0"/>
              <w:snapToGrid w:val="0"/>
              <w:spacing w:before="0" w:beforeLines="-2147483648" w:line="360" w:lineRule="auto"/>
              <w:ind w:left="0" w:leftChars="0" w:right="0" w:rightChars="0" w:firstLine="0" w:firstLineChars="0"/>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示例（博士）：学术报告</w:t>
            </w: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E2F379">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vertAlign w:val="baseline"/>
                <w:lang w:val="en-US" w:eastAsia="zh-CN" w:bidi="ar-SA"/>
              </w:rPr>
              <w:t>1</w:t>
            </w:r>
          </w:p>
        </w:tc>
        <w:tc>
          <w:tcPr>
            <w:tcW w:w="1924"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3336846">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0000FF"/>
                <w:kern w:val="2"/>
                <w:sz w:val="18"/>
                <w:szCs w:val="18"/>
                <w:vertAlign w:val="baseline"/>
                <w:lang w:val="en-US" w:eastAsia="zh-CN" w:bidi="ar-SA"/>
              </w:rPr>
            </w:pPr>
          </w:p>
        </w:tc>
      </w:tr>
      <w:tr w14:paraId="1264AF1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45" w:type="dxa"/>
            <w:vMerge w:val="continue"/>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65923CE">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5891" w:type="dxa"/>
            <w:gridSpan w:val="4"/>
            <w:tcBorders>
              <w:top w:val="single" w:color="auto" w:sz="4" w:space="0"/>
              <w:left w:val="single" w:color="auto" w:sz="4" w:space="0"/>
              <w:bottom w:val="nil"/>
              <w:right w:val="nil"/>
            </w:tcBorders>
            <w:noWrap w:val="0"/>
            <w:tcMar>
              <w:top w:w="-1" w:type="dxa"/>
              <w:left w:w="-1" w:type="dxa"/>
              <w:bottom w:w="-1" w:type="dxa"/>
              <w:right w:w="-1" w:type="dxa"/>
            </w:tcMar>
            <w:vAlign w:val="center"/>
          </w:tcPr>
          <w:p w14:paraId="3ED748CC">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kern w:val="2"/>
                <w:sz w:val="21"/>
                <w:szCs w:val="21"/>
                <w:lang w:val="en-US" w:eastAsia="zh-CN" w:bidi="ar-SA"/>
              </w:rPr>
              <w:t>……</w:t>
            </w:r>
          </w:p>
        </w:tc>
        <w:tc>
          <w:tcPr>
            <w:tcW w:w="49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3FF8EEB2">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p>
        </w:tc>
        <w:tc>
          <w:tcPr>
            <w:tcW w:w="1924" w:type="dxa"/>
            <w:gridSpan w:val="2"/>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7E535FF7">
            <w:pPr>
              <w:widowControl w:val="0"/>
              <w:snapToGrid w:val="0"/>
              <w:spacing w:before="0" w:beforeLines="-2147483648" w:line="360" w:lineRule="auto"/>
              <w:ind w:left="0" w:leftChars="0" w:right="0" w:rightChars="0" w:firstLine="0" w:firstLineChars="0"/>
              <w:jc w:val="center"/>
              <w:rPr>
                <w:rFonts w:hint="eastAsia" w:ascii="仿宋" w:hAnsi="仿宋" w:eastAsia="仿宋" w:cs="仿宋"/>
                <w:color w:val="0000FF"/>
                <w:kern w:val="2"/>
                <w:sz w:val="18"/>
                <w:szCs w:val="18"/>
                <w:vertAlign w:val="baseline"/>
                <w:lang w:val="en-US" w:eastAsia="zh-CN" w:bidi="ar-SA"/>
              </w:rPr>
            </w:pPr>
          </w:p>
        </w:tc>
      </w:tr>
      <w:tr w14:paraId="494347A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584" w:type="dxa"/>
            <w:gridSpan w:val="2"/>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481723D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1"/>
                <w:szCs w:val="21"/>
                <w:lang w:val="en-US" w:eastAsia="zh-CN" w:bidi="ar-SA"/>
              </w:rPr>
              <w:t>总学分</w:t>
            </w:r>
          </w:p>
        </w:tc>
        <w:tc>
          <w:tcPr>
            <w:tcW w:w="6868" w:type="dxa"/>
            <w:gridSpan w:val="6"/>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59FDDE3A">
            <w:pPr>
              <w:widowControl w:val="0"/>
              <w:snapToGrid w:val="0"/>
              <w:spacing w:before="0" w:beforeLines="-2147483648" w:line="360" w:lineRule="auto"/>
              <w:ind w:left="0" w:leftChars="0" w:right="0" w:rightChars="0" w:firstLine="0" w:firstLineChars="0"/>
              <w:jc w:val="center"/>
              <w:rPr>
                <w:rFonts w:hint="eastAsia" w:ascii="仿宋" w:hAnsi="仿宋" w:eastAsia="仿宋" w:cs="仿宋"/>
                <w:kern w:val="2"/>
                <w:sz w:val="21"/>
                <w:vertAlign w:val="baseline"/>
                <w:lang w:val="en-US" w:eastAsia="zh-CN" w:bidi="ar-SA"/>
              </w:rPr>
            </w:pPr>
            <w:r>
              <w:rPr>
                <w:rFonts w:hint="eastAsia" w:ascii="仿宋" w:hAnsi="仿宋" w:eastAsia="仿宋" w:cs="仿宋"/>
                <w:b/>
                <w:bCs/>
                <w:kern w:val="2"/>
                <w:sz w:val="21"/>
                <w:szCs w:val="21"/>
                <w:lang w:val="en-US" w:eastAsia="zh-CN" w:bidi="ar-SA"/>
              </w:rPr>
              <w:t>不低于</w:t>
            </w:r>
            <w:r>
              <w:rPr>
                <w:rFonts w:hint="eastAsia" w:ascii="仿宋" w:hAnsi="仿宋" w:eastAsia="仿宋" w:cs="仿宋"/>
                <w:b/>
                <w:bCs/>
                <w:color w:val="FF0000"/>
                <w:kern w:val="2"/>
                <w:sz w:val="21"/>
                <w:szCs w:val="21"/>
                <w:lang w:val="en-US" w:eastAsia="zh-CN" w:bidi="ar-SA"/>
              </w:rPr>
              <w:t xml:space="preserve"> * </w:t>
            </w:r>
            <w:r>
              <w:rPr>
                <w:rFonts w:hint="eastAsia" w:ascii="仿宋" w:hAnsi="仿宋" w:eastAsia="仿宋" w:cs="仿宋"/>
                <w:b/>
                <w:bCs/>
                <w:kern w:val="2"/>
                <w:sz w:val="21"/>
                <w:szCs w:val="21"/>
                <w:lang w:val="en-US" w:eastAsia="zh-CN" w:bidi="ar-SA"/>
              </w:rPr>
              <w:t>学分</w:t>
            </w:r>
          </w:p>
        </w:tc>
      </w:tr>
    </w:tbl>
    <w:p w14:paraId="270A3B41">
      <w:pPr>
        <w:widowControl w:val="0"/>
        <w:snapToGrid/>
        <w:spacing w:before="0" w:beforeLines="-2147483648" w:line="240" w:lineRule="auto"/>
        <w:ind w:left="0" w:leftChars="0" w:firstLine="0" w:firstLineChars="0"/>
        <w:rPr>
          <w:rFonts w:hint="eastAsia" w:ascii="仿宋" w:hAnsi="仿宋" w:eastAsia="仿宋" w:cs="仿宋"/>
          <w:kern w:val="2"/>
          <w:sz w:val="21"/>
          <w:lang w:val="en-US" w:eastAsia="zh-CN" w:bidi="ar-SA"/>
        </w:rPr>
      </w:pPr>
    </w:p>
    <w:p w14:paraId="740953E0">
      <w:pPr>
        <w:spacing w:before="0" w:after="0"/>
        <w:rPr>
          <w:rFonts w:hint="eastAsia" w:ascii="仿宋" w:hAnsi="仿宋" w:eastAsia="仿宋" w:cs="仿宋"/>
        </w:rPr>
      </w:pPr>
    </w:p>
    <w:sectPr>
      <w:headerReference r:id="rId5" w:type="default"/>
      <w:footerReference r:id="rId6" w:type="default"/>
      <w:pgSz w:w="11906" w:h="16838"/>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858FF">
    <w:pPr>
      <w:jc w:val="center"/>
    </w:pPr>
    <w:r>
      <w:rPr>
        <w:rFonts w:ascii="宋体" w:hAnsi="宋体" w:eastAsia="宋体" w:cs="宋体"/>
        <w:sz w:val="18"/>
        <w:szCs w:val="18"/>
      </w:rPr>
      <w:t xml:space="preserve">第 </w:t>
    </w:r>
    <w:r>
      <w:rPr>
        <w:rFonts w:ascii="宋体" w:hAnsi="宋体" w:eastAsia="宋体" w:cs="宋体"/>
        <w:sz w:val="18"/>
        <w:szCs w:val="18"/>
      </w:rPr>
      <w:fldChar w:fldCharType="begin"/>
    </w:r>
    <w:r>
      <w:rPr>
        <w:rFonts w:ascii="宋体" w:hAnsi="宋体" w:eastAsia="宋体" w:cs="宋体"/>
        <w:sz w:val="18"/>
        <w:szCs w:val="18"/>
      </w:rPr>
      <w:instrText xml:space="preserve">PAGE</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 共 </w:t>
    </w:r>
    <w:r>
      <w:rPr>
        <w:rFonts w:ascii="宋体" w:hAnsi="宋体" w:eastAsia="宋体" w:cs="宋体"/>
        <w:sz w:val="18"/>
        <w:szCs w:val="18"/>
      </w:rPr>
      <w:fldChar w:fldCharType="begin"/>
    </w:r>
    <w:r>
      <w:rPr>
        <w:rFonts w:ascii="宋体" w:hAnsi="宋体" w:eastAsia="宋体" w:cs="宋体"/>
        <w:sz w:val="18"/>
        <w:szCs w:val="18"/>
      </w:rPr>
      <w:instrText xml:space="preserve">NUMPAGES</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9299">
    <w:pPr>
      <w:jc w:val="center"/>
    </w:pPr>
    <w:r>
      <w:rPr>
        <w:rFonts w:ascii="宋体" w:hAnsi="宋体" w:eastAsia="宋体" w:cs="宋体"/>
        <w:color w:val="808080"/>
        <w:sz w:val="18"/>
        <w:szCs w:val="18"/>
      </w:rPr>
      <w:t>南京中医药大学</w:t>
    </w:r>
    <w:r>
      <w:rPr>
        <w:rFonts w:hint="eastAsia" w:cs="宋体"/>
        <w:color w:val="808080"/>
        <w:sz w:val="18"/>
        <w:szCs w:val="18"/>
        <w:lang w:val="en-US" w:eastAsia="zh-CN"/>
      </w:rPr>
      <w:t>学术</w:t>
    </w:r>
    <w:r>
      <w:rPr>
        <w:rFonts w:ascii="宋体" w:hAnsi="宋体" w:eastAsia="宋体" w:cs="宋体"/>
        <w:color w:val="808080"/>
        <w:sz w:val="18"/>
        <w:szCs w:val="18"/>
      </w:rPr>
      <w:t>学位研究生培养方案模板（2026级）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93ADE"/>
    <w:multiLevelType w:val="singleLevel"/>
    <w:tmpl w:val="58293AD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05F40D2"/>
    <w:rsid w:val="00752C21"/>
    <w:rsid w:val="01A87D7C"/>
    <w:rsid w:val="02D91DBA"/>
    <w:rsid w:val="07E0507A"/>
    <w:rsid w:val="12E06028"/>
    <w:rsid w:val="162A5E51"/>
    <w:rsid w:val="17DA2767"/>
    <w:rsid w:val="1F615A74"/>
    <w:rsid w:val="20BD10C1"/>
    <w:rsid w:val="2BA94499"/>
    <w:rsid w:val="2CEA023E"/>
    <w:rsid w:val="2D653254"/>
    <w:rsid w:val="2F3C0879"/>
    <w:rsid w:val="32086102"/>
    <w:rsid w:val="3A116DEA"/>
    <w:rsid w:val="401805A1"/>
    <w:rsid w:val="45FC6D34"/>
    <w:rsid w:val="47506079"/>
    <w:rsid w:val="4B976B7A"/>
    <w:rsid w:val="4DE8070F"/>
    <w:rsid w:val="50FD54F0"/>
    <w:rsid w:val="571C4217"/>
    <w:rsid w:val="5A502906"/>
    <w:rsid w:val="5B9C1F67"/>
    <w:rsid w:val="621C1A8D"/>
    <w:rsid w:val="633A3CD5"/>
    <w:rsid w:val="701E6320"/>
    <w:rsid w:val="75C810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tabs>
        <w:tab w:val="left" w:pos="0"/>
        <w:tab w:val="left" w:pos="420"/>
      </w:tabs>
      <w:snapToGrid w:val="0"/>
      <w:spacing w:before="50" w:beforeLines="50" w:line="360" w:lineRule="auto"/>
      <w:ind w:left="0" w:leftChars="0" w:firstLine="643" w:firstLineChars="200"/>
      <w:jc w:val="both"/>
    </w:pPr>
    <w:rPr>
      <w:rFonts w:ascii="宋体" w:hAnsi="宋体" w:eastAsia="宋体" w:cs="宋体"/>
      <w:sz w:val="24"/>
      <w:szCs w:val="24"/>
    </w:rPr>
  </w:style>
  <w:style w:type="paragraph" w:styleId="2">
    <w:name w:val="heading 1"/>
    <w:next w:val="1"/>
    <w:qFormat/>
    <w:uiPriority w:val="0"/>
    <w:pPr>
      <w:spacing w:before="240" w:after="120"/>
      <w:outlineLvl w:val="0"/>
    </w:pPr>
    <w:rPr>
      <w:rFonts w:ascii="黑体" w:hAnsi="黑体" w:eastAsia="黑体" w:cs="黑体"/>
      <w:b/>
      <w:bCs/>
      <w:sz w:val="32"/>
      <w:szCs w:val="32"/>
    </w:rPr>
  </w:style>
  <w:style w:type="paragraph" w:styleId="3">
    <w:name w:val="heading 2"/>
    <w:next w:val="1"/>
    <w:qFormat/>
    <w:uiPriority w:val="0"/>
    <w:pPr>
      <w:spacing w:before="180" w:after="120"/>
      <w:outlineLvl w:val="1"/>
    </w:pPr>
    <w:rPr>
      <w:rFonts w:ascii="黑体" w:hAnsi="黑体" w:eastAsia="黑体" w:cs="黑体"/>
      <w:b/>
      <w:bCs/>
      <w:sz w:val="28"/>
      <w:szCs w:val="28"/>
    </w:rPr>
  </w:style>
  <w:style w:type="paragraph" w:styleId="4">
    <w:name w:val="heading 3"/>
    <w:next w:val="1"/>
    <w:qFormat/>
    <w:uiPriority w:val="0"/>
    <w:rPr>
      <w:rFonts w:ascii="宋体" w:hAnsi="宋体" w:eastAsia="宋体" w:cs="宋体"/>
      <w:color w:val="1F4D78"/>
      <w:sz w:val="24"/>
      <w:szCs w:val="24"/>
    </w:rPr>
  </w:style>
  <w:style w:type="paragraph" w:styleId="5">
    <w:name w:val="heading 4"/>
    <w:next w:val="1"/>
    <w:qFormat/>
    <w:uiPriority w:val="0"/>
    <w:rPr>
      <w:rFonts w:ascii="宋体" w:hAnsi="宋体" w:eastAsia="宋体" w:cs="宋体"/>
      <w:i/>
      <w:iCs/>
      <w:color w:val="2E74B5"/>
      <w:sz w:val="24"/>
      <w:szCs w:val="24"/>
    </w:rPr>
  </w:style>
  <w:style w:type="paragraph" w:styleId="6">
    <w:name w:val="heading 5"/>
    <w:next w:val="1"/>
    <w:qFormat/>
    <w:uiPriority w:val="0"/>
    <w:rPr>
      <w:rFonts w:ascii="宋体" w:hAnsi="宋体" w:eastAsia="宋体" w:cs="宋体"/>
      <w:color w:val="2E74B5"/>
      <w:sz w:val="24"/>
      <w:szCs w:val="24"/>
    </w:rPr>
  </w:style>
  <w:style w:type="paragraph" w:styleId="7">
    <w:name w:val="heading 6"/>
    <w:next w:val="1"/>
    <w:qFormat/>
    <w:uiPriority w:val="0"/>
    <w:rPr>
      <w:rFonts w:ascii="宋体" w:hAnsi="宋体" w:eastAsia="宋体" w:cs="宋体"/>
      <w:color w:val="1F4D78"/>
      <w:sz w:val="24"/>
      <w:szCs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9"/>
    <w:semiHidden/>
    <w:unhideWhenUsed/>
    <w:qFormat/>
    <w:uiPriority w:val="99"/>
    <w:pPr>
      <w:spacing w:after="0" w:line="240" w:lineRule="auto"/>
    </w:pPr>
    <w:rPr>
      <w:rFonts w:ascii="宋体" w:hAnsi="宋体" w:eastAsia="宋体" w:cs="宋体"/>
      <w:sz w:val="20"/>
      <w:szCs w:val="20"/>
    </w:rPr>
  </w:style>
  <w:style w:type="paragraph" w:styleId="9">
    <w:name w:val="footnote text"/>
    <w:link w:val="18"/>
    <w:semiHidden/>
    <w:unhideWhenUsed/>
    <w:qFormat/>
    <w:uiPriority w:val="99"/>
    <w:pPr>
      <w:spacing w:after="0" w:line="240" w:lineRule="auto"/>
    </w:pPr>
    <w:rPr>
      <w:rFonts w:ascii="宋体" w:hAnsi="宋体" w:eastAsia="宋体" w:cs="宋体"/>
      <w:sz w:val="20"/>
      <w:szCs w:val="20"/>
    </w:rPr>
  </w:style>
  <w:style w:type="paragraph" w:styleId="10">
    <w:name w:val="Title"/>
    <w:qFormat/>
    <w:uiPriority w:val="0"/>
    <w:rPr>
      <w:rFonts w:ascii="宋体" w:hAnsi="宋体" w:eastAsia="宋体" w:cs="宋体"/>
      <w:sz w:val="56"/>
      <w:szCs w:val="56"/>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paragraph" w:styleId="17">
    <w:name w:val="List Paragraph"/>
    <w:qFormat/>
    <w:uiPriority w:val="0"/>
    <w:rPr>
      <w:rFonts w:ascii="宋体" w:hAnsi="宋体" w:eastAsia="宋体" w:cs="宋体"/>
      <w:sz w:val="24"/>
      <w:szCs w:val="24"/>
    </w:rPr>
  </w:style>
  <w:style w:type="character" w:customStyle="1" w:styleId="18">
    <w:name w:val="Footnote Text Char"/>
    <w:link w:val="9"/>
    <w:semiHidden/>
    <w:unhideWhenUsed/>
    <w:qFormat/>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5216</Words>
  <Characters>5380</Characters>
  <TotalTime>37</TotalTime>
  <ScaleCrop>false</ScaleCrop>
  <LinksUpToDate>false</LinksUpToDate>
  <CharactersWithSpaces>5507</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2026-06-18T03:30:00Z</dcterms:created>
  <dc:creator>Un-named</dc:creator>
  <cp:lastModifiedBy>卢金花</cp:lastModifiedBy>
  <cp:lastPrinted>2026-06-29T03:17:00Z</cp:lastPrinted>
  <dcterms:modified xsi:type="dcterms:W3CDTF">2026-07-14T06:43:48Z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eyJoZGlkIjoiMTcxZTdiYjgwZGIzN2ZiNTAxMmZhMDAzM2M4MWIzZWQiLCJ1c2VySWQiOiIxNzE2NTUwMDE2In0=</vt:lpwstr>
  </property>
  <property fmtid="{D5CDD505-2E9C-101B-9397-08002B2CF9AE}" pid="3" name="KSOProductBuildVer">
    <vt:lpwstr>2052-12.1.0.26884</vt:lpwstr>
  </property>
  <property fmtid="{D5CDD505-2E9C-101B-9397-08002B2CF9AE}" pid="4" name="ICV">
    <vt:lpwstr>2856D840827043B3A2C67F27CADB92A2_13</vt:lpwstr>
  </property>
</Properties>
</file>