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8D17">
      <w:pPr>
        <w:outlineLvl w:val="0"/>
        <w:rPr>
          <w:rFonts w:hint="eastAsia" w:ascii="Times New Roman" w:hAnsi="Times New Roman" w:eastAsia="黑体" w:cs="Times New Roman"/>
          <w:sz w:val="32"/>
          <w:szCs w:val="40"/>
          <w:lang w:eastAsia="zh-CN"/>
        </w:rPr>
      </w:pPr>
      <w:r>
        <w:rPr>
          <w:rFonts w:hint="default" w:ascii="Times New Roman" w:hAnsi="Times New Roman" w:eastAsia="黑体" w:cs="Times New Roman"/>
          <w:sz w:val="32"/>
          <w:szCs w:val="40"/>
        </w:rPr>
        <w:t>附</w:t>
      </w:r>
      <w:r>
        <w:rPr>
          <w:rFonts w:hint="eastAsia" w:ascii="Times New Roman" w:hAnsi="Times New Roman" w:eastAsia="黑体" w:cs="Times New Roman"/>
          <w:sz w:val="32"/>
          <w:szCs w:val="40"/>
          <w:lang w:eastAsia="zh-CN"/>
        </w:rPr>
        <w:t>件</w:t>
      </w:r>
      <w:r>
        <w:rPr>
          <w:rFonts w:hint="eastAsia" w:ascii="Times New Roman" w:hAnsi="Times New Roman" w:eastAsia="黑体" w:cs="Times New Roman"/>
          <w:sz w:val="32"/>
          <w:szCs w:val="40"/>
          <w:lang w:val="en-US" w:eastAsia="zh-CN"/>
        </w:rPr>
        <w:t>3</w:t>
      </w:r>
    </w:p>
    <w:p w14:paraId="28D305A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0"/>
        <w:rPr>
          <w:rFonts w:hint="default" w:ascii="Times New Roman" w:hAnsi="Times New Roman" w:eastAsia="仿宋_GB2312" w:cs="Times New Roman"/>
          <w:bCs/>
          <w:sz w:val="44"/>
          <w:szCs w:val="44"/>
        </w:rPr>
      </w:pPr>
      <w:r>
        <w:rPr>
          <w:rFonts w:hint="eastAsia" w:ascii="Times New Roman" w:hAnsi="Times New Roman" w:eastAsia="方正小标宋简体" w:cs="Times New Roman"/>
          <w:bCs/>
          <w:sz w:val="44"/>
          <w:szCs w:val="44"/>
          <w:lang w:val="en-US" w:eastAsia="zh-CN"/>
        </w:rPr>
        <w:t>教学</w:t>
      </w:r>
      <w:r>
        <w:rPr>
          <w:rFonts w:hint="default" w:ascii="Times New Roman" w:hAnsi="Times New Roman" w:eastAsia="方正小标宋简体" w:cs="Times New Roman"/>
          <w:bCs/>
          <w:sz w:val="44"/>
          <w:szCs w:val="44"/>
        </w:rPr>
        <w:t>案例</w:t>
      </w:r>
      <w:r>
        <w:rPr>
          <w:rFonts w:hint="eastAsia" w:ascii="Times New Roman" w:hAnsi="Times New Roman" w:eastAsia="方正小标宋简体" w:cs="Times New Roman"/>
          <w:bCs/>
          <w:sz w:val="44"/>
          <w:szCs w:val="44"/>
          <w:lang w:val="en-US" w:eastAsia="zh-CN"/>
        </w:rPr>
        <w:t>结项</w:t>
      </w:r>
      <w:r>
        <w:rPr>
          <w:rFonts w:hint="default" w:ascii="Times New Roman" w:hAnsi="Times New Roman" w:eastAsia="方正小标宋简体" w:cs="Times New Roman"/>
          <w:bCs/>
          <w:sz w:val="44"/>
          <w:szCs w:val="44"/>
        </w:rPr>
        <w:t>规范</w:t>
      </w:r>
    </w:p>
    <w:p w14:paraId="7A120F96">
      <w:pPr>
        <w:keepNext w:val="0"/>
        <w:keepLines w:val="0"/>
        <w:pageBreakBefore w:val="0"/>
        <w:widowControl w:val="0"/>
        <w:kinsoku/>
        <w:wordWrap/>
        <w:overflowPunct/>
        <w:topLinePunct w:val="0"/>
        <w:autoSpaceDE/>
        <w:autoSpaceDN/>
        <w:bidi w:val="0"/>
        <w:adjustRightInd/>
        <w:snapToGrid/>
        <w:spacing w:after="157" w:afterLines="50" w:line="500" w:lineRule="exact"/>
        <w:ind w:firstLine="0" w:firstLineChars="0"/>
        <w:jc w:val="center"/>
        <w:textAlignment w:val="auto"/>
        <w:outlineLvl w:val="0"/>
        <w:rPr>
          <w:rFonts w:hint="default" w:ascii="Times New Roman" w:hAnsi="Times New Roman" w:eastAsia="仿宋_GB2312" w:cs="Times New Roman"/>
          <w:bCs/>
          <w:sz w:val="32"/>
          <w:szCs w:val="32"/>
        </w:rPr>
      </w:pPr>
    </w:p>
    <w:p w14:paraId="6E36DC49">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案例开发与编写要始终坚持正确政治方向，全面贯彻落实习近平新时代中国特色社会主义思想，严格遵守国家法律法规，做到格式、体例、内容等规范。</w:t>
      </w:r>
    </w:p>
    <w:p w14:paraId="6EB0DE7B">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ind w:firstLine="641" w:firstLineChars="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版权要求</w:t>
      </w:r>
    </w:p>
    <w:p w14:paraId="564172D2">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（一）原创案例，不侵犯任何第三方权利；</w:t>
      </w:r>
    </w:p>
    <w:p w14:paraId="7CF36CE1">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（二）未被任何国内外案例库收录（包括评审阶段），未在任何期刊发表；</w:t>
      </w:r>
    </w:p>
    <w:p w14:paraId="3DD5252D">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（三）提交的案例成果与已发表内容（含本次提交的其他案例）的文字重合率不超过20%。</w:t>
      </w:r>
    </w:p>
    <w:p w14:paraId="7860A2A7">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ind w:firstLine="641" w:firstLineChars="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形式要求</w:t>
      </w:r>
      <w:bookmarkStart w:id="0" w:name="_GoBack"/>
      <w:bookmarkEnd w:id="0"/>
    </w:p>
    <w:p w14:paraId="279A151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应包含案例正文</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或视频</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、教学指导手册</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及查重报告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仅文字案例需要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等材料</w:t>
      </w:r>
      <w:r>
        <w:rPr>
          <w:rFonts w:hint="eastAsia" w:ascii="Times New Roman" w:hAnsi="Times New Roman" w:eastAsia="仿宋_GB2312" w:cs="Times New Roman"/>
          <w:sz w:val="32"/>
          <w:szCs w:val="32"/>
          <w:lang w:eastAsia="zh-CN"/>
        </w:rPr>
        <w:t>。</w:t>
      </w:r>
    </w:p>
    <w:p w14:paraId="4B56357C">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ind w:firstLine="641" w:firstLineChars="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内容规范</w:t>
      </w:r>
    </w:p>
    <w:p w14:paraId="5E519580">
      <w:pPr>
        <w:pStyle w:val="12"/>
        <w:keepNext w:val="0"/>
        <w:keepLines w:val="0"/>
        <w:pageBreakBefore w:val="0"/>
        <w:widowControl w:val="0"/>
        <w:numPr>
          <w:ilvl w:val="0"/>
          <w:numId w:val="2"/>
        </w:numPr>
        <w:tabs>
          <w:tab w:val="left" w:pos="142"/>
        </w:tabs>
        <w:kinsoku/>
        <w:wordWrap/>
        <w:overflowPunct/>
        <w:topLinePunct w:val="0"/>
        <w:autoSpaceDE/>
        <w:autoSpaceDN/>
        <w:bidi w:val="0"/>
        <w:adjustRightInd/>
        <w:snapToGrid/>
        <w:spacing w:line="560" w:lineRule="exact"/>
        <w:ind w:firstLineChars="0"/>
        <w:textAlignment w:val="auto"/>
        <w:outlineLvl w:val="1"/>
        <w:rPr>
          <w:rFonts w:hint="eastAsia" w:ascii="楷体" w:hAnsi="楷体" w:eastAsia="楷体" w:cs="楷体"/>
          <w:b/>
          <w:bCs/>
          <w:color w:val="FF0000"/>
          <w:sz w:val="32"/>
          <w:szCs w:val="32"/>
        </w:rPr>
      </w:pPr>
      <w:r>
        <w:rPr>
          <w:rFonts w:hint="eastAsia" w:ascii="楷体" w:hAnsi="楷体" w:eastAsia="楷体" w:cs="楷体"/>
          <w:b/>
          <w:bCs/>
          <w:color w:val="FF0000"/>
          <w:sz w:val="32"/>
          <w:szCs w:val="32"/>
        </w:rPr>
        <w:t>案例正文/视频</w:t>
      </w:r>
    </w:p>
    <w:p w14:paraId="0F5FABB2">
      <w:pPr>
        <w:pStyle w:val="12"/>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一般包括案例名称、中英文摘要及关键词、作者和版权相关信息、正文/视频等内容。篇幅请勿过长或过短，一般文字案例不少于10000字、小微案例不多于4000字，视频案例时长为</w:t>
      </w:r>
      <w:r>
        <w:rPr>
          <w:rFonts w:hint="default" w:ascii="Times New Roman" w:hAnsi="Times New Roman" w:eastAsia="仿宋_GB2312" w:cs="Times New Roman"/>
          <w:bCs/>
          <w:sz w:val="32"/>
          <w:szCs w:val="32"/>
        </w:rPr>
        <w:t>15-30分钟、短视频</w:t>
      </w:r>
      <w:r>
        <w:rPr>
          <w:rFonts w:hint="default" w:ascii="Times New Roman" w:hAnsi="Times New Roman" w:eastAsia="仿宋_GB2312" w:cs="Times New Roman"/>
          <w:bCs/>
          <w:sz w:val="32"/>
          <w:szCs w:val="32"/>
          <w:lang w:val="en-US" w:eastAsia="zh-CN"/>
        </w:rPr>
        <w:t>案例</w:t>
      </w:r>
      <w:r>
        <w:rPr>
          <w:rFonts w:hint="default" w:ascii="Times New Roman" w:hAnsi="Times New Roman" w:eastAsia="仿宋_GB2312" w:cs="Times New Roman"/>
          <w:bCs/>
          <w:sz w:val="32"/>
          <w:szCs w:val="32"/>
        </w:rPr>
        <w:t>时长为3-5分钟。</w:t>
      </w:r>
      <w:r>
        <w:rPr>
          <w:rFonts w:hint="default" w:ascii="Times New Roman" w:hAnsi="Times New Roman" w:eastAsia="仿宋_GB2312" w:cs="Times New Roman"/>
          <w:sz w:val="32"/>
          <w:szCs w:val="32"/>
        </w:rPr>
        <w:t>附录计入字数/时长。</w:t>
      </w:r>
    </w:p>
    <w:p w14:paraId="60AF246A">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案例名称。</w:t>
      </w:r>
      <w:r>
        <w:rPr>
          <w:rFonts w:hint="default" w:ascii="Times New Roman" w:hAnsi="Times New Roman" w:eastAsia="仿宋_GB2312" w:cs="Times New Roman"/>
          <w:bCs/>
          <w:sz w:val="32"/>
          <w:szCs w:val="32"/>
        </w:rPr>
        <w:t>以明确清晰、简洁易懂的中性词语为宜。一般应包含有关主体/单位的真实名称，如真实名称需要做匿名化处理的请在首页（脚注处）说明。</w:t>
      </w:r>
    </w:p>
    <w:p w14:paraId="509CFDB1">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中英文摘要及关键词。</w:t>
      </w:r>
      <w:r>
        <w:rPr>
          <w:rFonts w:hint="default" w:ascii="Times New Roman" w:hAnsi="Times New Roman" w:eastAsia="仿宋_GB2312" w:cs="Times New Roman"/>
          <w:sz w:val="32"/>
          <w:szCs w:val="32"/>
        </w:rPr>
        <w:t>摘要是对案例内容的简要描述，一般不作评论分析，300字左右；关键词3-5个。</w:t>
      </w:r>
    </w:p>
    <w:p w14:paraId="61FAE047">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作者和版权相关信息。</w:t>
      </w:r>
      <w:r>
        <w:rPr>
          <w:rFonts w:hint="default" w:ascii="Times New Roman" w:hAnsi="Times New Roman" w:eastAsia="仿宋_GB2312" w:cs="Times New Roman"/>
          <w:sz w:val="32"/>
          <w:szCs w:val="32"/>
        </w:rPr>
        <w:t>介绍</w:t>
      </w:r>
      <w:r>
        <w:rPr>
          <w:rFonts w:hint="default" w:ascii="Times New Roman" w:hAnsi="Times New Roman" w:eastAsia="仿宋_GB2312" w:cs="Times New Roman"/>
          <w:bCs/>
          <w:sz w:val="32"/>
          <w:szCs w:val="32"/>
        </w:rPr>
        <w:t>作者姓名、工作单位、案例版权说明等。</w:t>
      </w:r>
    </w:p>
    <w:p w14:paraId="39AB4249">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正文/视频。</w:t>
      </w:r>
      <w:r>
        <w:rPr>
          <w:rFonts w:hint="default" w:ascii="Times New Roman" w:hAnsi="Times New Roman" w:eastAsia="仿宋_GB2312" w:cs="Times New Roman"/>
          <w:sz w:val="32"/>
          <w:szCs w:val="32"/>
        </w:rPr>
        <w:t>内容为基于客观事实的真实描述，一般应包含必要的时间、地点、主要人物、关键事件等信息。内容完整准确、条理清晰、决策点突出，数据真实可靠。</w:t>
      </w:r>
    </w:p>
    <w:p w14:paraId="0B515F26">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其他材料。</w:t>
      </w:r>
      <w:r>
        <w:rPr>
          <w:rFonts w:hint="default" w:ascii="Times New Roman" w:hAnsi="Times New Roman" w:eastAsia="仿宋_GB2312" w:cs="Times New Roman"/>
          <w:bCs/>
          <w:sz w:val="32"/>
          <w:szCs w:val="32"/>
        </w:rPr>
        <w:t>脚注：对正文/视频中某些技术问题、必要情况进行注释；附录：有助于理解且不便在正文/视频中体现的数据、图表及相关背景资料等。</w:t>
      </w:r>
    </w:p>
    <w:p w14:paraId="2E8D7E5B">
      <w:pPr>
        <w:pStyle w:val="12"/>
        <w:keepNext w:val="0"/>
        <w:keepLines w:val="0"/>
        <w:pageBreakBefore w:val="0"/>
        <w:widowControl w:val="0"/>
        <w:numPr>
          <w:ilvl w:val="0"/>
          <w:numId w:val="2"/>
        </w:numPr>
        <w:tabs>
          <w:tab w:val="left" w:pos="142"/>
        </w:tabs>
        <w:kinsoku/>
        <w:wordWrap/>
        <w:overflowPunct/>
        <w:topLinePunct w:val="0"/>
        <w:autoSpaceDE/>
        <w:autoSpaceDN/>
        <w:bidi w:val="0"/>
        <w:adjustRightInd/>
        <w:snapToGrid/>
        <w:spacing w:line="560" w:lineRule="exact"/>
        <w:ind w:firstLineChars="0"/>
        <w:textAlignment w:val="auto"/>
        <w:outlineLvl w:val="1"/>
        <w:rPr>
          <w:rFonts w:hint="eastAsia" w:ascii="楷体" w:hAnsi="楷体" w:eastAsia="楷体" w:cs="楷体"/>
          <w:b/>
          <w:bCs/>
          <w:color w:val="FF0000"/>
          <w:sz w:val="32"/>
          <w:szCs w:val="32"/>
        </w:rPr>
      </w:pPr>
      <w:r>
        <w:rPr>
          <w:rFonts w:hint="eastAsia" w:ascii="楷体" w:hAnsi="楷体" w:eastAsia="楷体" w:cs="楷体"/>
          <w:b/>
          <w:bCs/>
          <w:color w:val="FF0000"/>
          <w:sz w:val="32"/>
          <w:szCs w:val="32"/>
        </w:rPr>
        <w:t>教学指导手册</w:t>
      </w:r>
    </w:p>
    <w:p w14:paraId="0C0087A8">
      <w:pPr>
        <w:pStyle w:val="12"/>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教学指导手册应与案例正文/视频对应，一般包括教学目标、启发思考题、分析思路、案例分析、课堂设计、要点汇总等内容。篇幅请勿过长或过短。</w:t>
      </w:r>
    </w:p>
    <w:p w14:paraId="754B8DEE">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教学目标。</w:t>
      </w:r>
      <w:r>
        <w:rPr>
          <w:rFonts w:hint="default" w:ascii="Times New Roman" w:hAnsi="Times New Roman" w:eastAsia="仿宋_GB2312" w:cs="Times New Roman"/>
          <w:sz w:val="32"/>
          <w:szCs w:val="32"/>
        </w:rPr>
        <w:t>包含教学用途、授课对象及适用课程等。</w:t>
      </w:r>
    </w:p>
    <w:p w14:paraId="09DA1C23">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启发思考题。</w:t>
      </w:r>
      <w:r>
        <w:rPr>
          <w:rFonts w:hint="default" w:ascii="Times New Roman" w:hAnsi="Times New Roman" w:eastAsia="仿宋_GB2312" w:cs="Times New Roman"/>
          <w:sz w:val="32"/>
          <w:szCs w:val="32"/>
        </w:rPr>
        <w:t>根据教学目标和案例内容提出有针对性的课堂讨论问题，3-5题为宜。</w:t>
      </w:r>
    </w:p>
    <w:p w14:paraId="1B88B66A">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分析思路。</w:t>
      </w:r>
      <w:r>
        <w:rPr>
          <w:rFonts w:hint="default" w:ascii="Times New Roman" w:hAnsi="Times New Roman" w:eastAsia="仿宋_GB2312" w:cs="Times New Roman"/>
          <w:sz w:val="32"/>
          <w:szCs w:val="32"/>
        </w:rPr>
        <w:t>展示案例分析的逻辑结构，体现案例问题、相关知识点和理论内在的逻辑关系。</w:t>
      </w:r>
    </w:p>
    <w:p w14:paraId="364A3D36">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案例分析。</w:t>
      </w:r>
      <w:r>
        <w:rPr>
          <w:rFonts w:hint="default" w:ascii="Times New Roman" w:hAnsi="Times New Roman" w:eastAsia="仿宋_GB2312" w:cs="Times New Roman"/>
          <w:sz w:val="32"/>
          <w:szCs w:val="32"/>
        </w:rPr>
        <w:t>基于启发思考题，选取适宜的理论、分析方法和工具对案例进行分析。</w:t>
      </w:r>
    </w:p>
    <w:p w14:paraId="5E362B52">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课堂设计。</w:t>
      </w:r>
      <w:r>
        <w:rPr>
          <w:rFonts w:hint="default" w:ascii="Times New Roman" w:hAnsi="Times New Roman" w:eastAsia="仿宋_GB2312" w:cs="Times New Roman"/>
          <w:sz w:val="32"/>
          <w:szCs w:val="32"/>
        </w:rPr>
        <w:t>包括时间安排、教学形式与环节设计等，必要时可附有板书计划。</w:t>
      </w:r>
    </w:p>
    <w:p w14:paraId="5ED4BF5C">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思政元素。</w:t>
      </w:r>
      <w:r>
        <w:rPr>
          <w:rFonts w:hint="eastAsia" w:ascii="Times New Roman" w:hAnsi="Times New Roman" w:eastAsia="仿宋_GB2312" w:cs="Times New Roman"/>
          <w:sz w:val="32"/>
          <w:szCs w:val="32"/>
          <w:lang w:val="en-US" w:eastAsia="zh-CN"/>
        </w:rPr>
        <w:t>结合</w:t>
      </w:r>
      <w:r>
        <w:rPr>
          <w:rFonts w:hint="eastAsia" w:ascii="Times New Roman" w:hAnsi="Times New Roman" w:eastAsia="仿宋_GB2312" w:cs="Times New Roman"/>
          <w:sz w:val="32"/>
          <w:szCs w:val="32"/>
        </w:rPr>
        <w:t>所在学科专业、所属课程类型的育人要求和特点，深入挖掘</w:t>
      </w:r>
      <w:r>
        <w:rPr>
          <w:rFonts w:hint="eastAsia" w:ascii="Times New Roman" w:hAnsi="Times New Roman" w:eastAsia="仿宋_GB2312" w:cs="Times New Roman"/>
          <w:sz w:val="32"/>
          <w:szCs w:val="32"/>
          <w:lang w:val="en-US" w:eastAsia="zh-CN"/>
        </w:rPr>
        <w:t>阐述</w:t>
      </w:r>
      <w:r>
        <w:rPr>
          <w:rFonts w:hint="eastAsia" w:ascii="Times New Roman" w:hAnsi="Times New Roman" w:eastAsia="仿宋_GB2312" w:cs="Times New Roman"/>
          <w:sz w:val="32"/>
          <w:szCs w:val="32"/>
        </w:rPr>
        <w:t>蕴含的思政教育元素</w:t>
      </w:r>
      <w:r>
        <w:rPr>
          <w:rFonts w:hint="eastAsia" w:ascii="Times New Roman" w:hAnsi="Times New Roman" w:eastAsia="仿宋_GB2312" w:cs="Times New Roman"/>
          <w:sz w:val="32"/>
          <w:szCs w:val="32"/>
          <w:lang w:eastAsia="zh-CN"/>
        </w:rPr>
        <w:t>。</w:t>
      </w:r>
    </w:p>
    <w:p w14:paraId="5891C9CD">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要点汇总。</w:t>
      </w:r>
      <w:r>
        <w:rPr>
          <w:rFonts w:hint="default" w:ascii="Times New Roman" w:hAnsi="Times New Roman" w:eastAsia="仿宋_GB2312" w:cs="Times New Roman"/>
          <w:sz w:val="32"/>
          <w:szCs w:val="32"/>
        </w:rPr>
        <w:t>梳理案例涉及的主要教学知识点、总结和淬炼隐含的案例启示等。</w:t>
      </w:r>
    </w:p>
    <w:p w14:paraId="62E72121">
      <w:pPr>
        <w:pStyle w:val="12"/>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32"/>
          <w:szCs w:val="32"/>
        </w:rPr>
        <w:t>其他说明（酌情）。</w:t>
      </w:r>
      <w:r>
        <w:rPr>
          <w:rFonts w:hint="default" w:ascii="Times New Roman" w:hAnsi="Times New Roman" w:eastAsia="仿宋_GB2312" w:cs="Times New Roman"/>
          <w:sz w:val="32"/>
          <w:szCs w:val="32"/>
        </w:rPr>
        <w:t>包括推荐阅读的相关资料、辅助教学材料、案例后续进展等。</w:t>
      </w:r>
    </w:p>
    <w:p w14:paraId="172BA37A">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ind w:firstLine="641" w:firstLineChars="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体例格式</w:t>
      </w:r>
    </w:p>
    <w:p w14:paraId="594DEEA7">
      <w:pPr>
        <w:pStyle w:val="1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第一部分 文字排版</w:t>
      </w:r>
    </w:p>
    <w:p w14:paraId="3C5BD531">
      <w:pPr>
        <w:pStyle w:val="12"/>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案例封面、正文、教学指导手册应按下述格式分别排版：</w:t>
      </w:r>
    </w:p>
    <w:p w14:paraId="353CA130">
      <w:pPr>
        <w:pStyle w:val="12"/>
        <w:keepNext w:val="0"/>
        <w:keepLines w:val="0"/>
        <w:pageBreakBefore w:val="0"/>
        <w:widowControl w:val="0"/>
        <w:numPr>
          <w:ilvl w:val="0"/>
          <w:numId w:val="5"/>
        </w:numPr>
        <w:tabs>
          <w:tab w:val="left" w:pos="142"/>
        </w:tabs>
        <w:kinsoku/>
        <w:wordWrap/>
        <w:overflowPunct/>
        <w:topLinePunct w:val="0"/>
        <w:autoSpaceDE/>
        <w:autoSpaceDN/>
        <w:bidi w:val="0"/>
        <w:adjustRightInd/>
        <w:snapToGrid/>
        <w:spacing w:line="560" w:lineRule="exact"/>
        <w:ind w:left="0" w:firstLine="640" w:firstLineChars="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封面</w:t>
      </w:r>
    </w:p>
    <w:p w14:paraId="36287128">
      <w:pPr>
        <w:pStyle w:val="12"/>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案例名称黑体二号居中，其他各项内容宋体三号居中。</w:t>
      </w:r>
    </w:p>
    <w:p w14:paraId="1EBB0469">
      <w:pPr>
        <w:pStyle w:val="12"/>
        <w:keepNext w:val="0"/>
        <w:keepLines w:val="0"/>
        <w:pageBreakBefore w:val="0"/>
        <w:widowControl w:val="0"/>
        <w:numPr>
          <w:ilvl w:val="0"/>
          <w:numId w:val="5"/>
        </w:numPr>
        <w:tabs>
          <w:tab w:val="left" w:pos="142"/>
        </w:tabs>
        <w:kinsoku/>
        <w:wordWrap/>
        <w:overflowPunct/>
        <w:topLinePunct w:val="0"/>
        <w:autoSpaceDE/>
        <w:autoSpaceDN/>
        <w:bidi w:val="0"/>
        <w:adjustRightInd/>
        <w:snapToGrid/>
        <w:spacing w:line="560" w:lineRule="exact"/>
        <w:ind w:left="0" w:firstLine="640" w:firstLineChars="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案例正文/教学指导手册</w:t>
      </w:r>
    </w:p>
    <w:p w14:paraId="611AD27E">
      <w:pPr>
        <w:pStyle w:val="12"/>
        <w:keepNext w:val="0"/>
        <w:keepLines w:val="0"/>
        <w:pageBreakBefore w:val="0"/>
        <w:widowControl w:val="0"/>
        <w:numPr>
          <w:ilvl w:val="0"/>
          <w:numId w:val="6"/>
        </w:numPr>
        <w:tabs>
          <w:tab w:val="left" w:pos="142"/>
        </w:tabs>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案例名称</w:t>
      </w:r>
    </w:p>
    <w:p w14:paraId="2FF6E4C7">
      <w:pPr>
        <w:pStyle w:val="12"/>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宋体三号、加粗、居中。</w:t>
      </w:r>
    </w:p>
    <w:p w14:paraId="7363E536">
      <w:pPr>
        <w:pStyle w:val="12"/>
        <w:keepNext w:val="0"/>
        <w:keepLines w:val="0"/>
        <w:pageBreakBefore w:val="0"/>
        <w:widowControl w:val="0"/>
        <w:numPr>
          <w:ilvl w:val="0"/>
          <w:numId w:val="6"/>
        </w:numPr>
        <w:tabs>
          <w:tab w:val="left" w:pos="142"/>
        </w:tabs>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作者署名</w:t>
      </w:r>
    </w:p>
    <w:p w14:paraId="022F9651">
      <w:pPr>
        <w:pStyle w:val="12"/>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楷体三号，按顺序署名，空格隔开。</w:t>
      </w:r>
    </w:p>
    <w:p w14:paraId="41A4FA3C">
      <w:pPr>
        <w:pStyle w:val="12"/>
        <w:keepNext w:val="0"/>
        <w:keepLines w:val="0"/>
        <w:pageBreakBefore w:val="0"/>
        <w:widowControl w:val="0"/>
        <w:numPr>
          <w:ilvl w:val="0"/>
          <w:numId w:val="6"/>
        </w:numPr>
        <w:tabs>
          <w:tab w:val="left" w:pos="142"/>
        </w:tabs>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摘要和关键词</w:t>
      </w:r>
    </w:p>
    <w:p w14:paraId="5017365A">
      <w:pPr>
        <w:pStyle w:val="12"/>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中文采用宋体小四号、英文采用Times New Roman小四号；首行缩进2字符，行距1.25倍，段前和段后各0.25行，两段对齐；关键词之间用顿号隔开；按照中文摘要、英文摘要、中文关键词、英文关键词的顺序排列。</w:t>
      </w:r>
    </w:p>
    <w:p w14:paraId="4E9691C7">
      <w:pPr>
        <w:pStyle w:val="12"/>
        <w:keepNext w:val="0"/>
        <w:keepLines w:val="0"/>
        <w:pageBreakBefore w:val="0"/>
        <w:widowControl w:val="0"/>
        <w:numPr>
          <w:ilvl w:val="0"/>
          <w:numId w:val="6"/>
        </w:numPr>
        <w:tabs>
          <w:tab w:val="left" w:pos="142"/>
        </w:tabs>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作者信息</w:t>
      </w:r>
    </w:p>
    <w:p w14:paraId="6786EDEF">
      <w:pPr>
        <w:pStyle w:val="12"/>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中文采用宋体小四号，英文采用Times New Roman小四号，首行缩进2字符，行距1.25倍，段前和段后各0.25行，两段对齐；不同作者信息用分号隔开；顺序与作者署名顺序一致，内容应包括作者姓名、单位和职务职称（多个单位职务用逗号隔开），研究生说明XX级。</w:t>
      </w:r>
    </w:p>
    <w:p w14:paraId="105C62AE">
      <w:pPr>
        <w:pStyle w:val="12"/>
        <w:keepNext w:val="0"/>
        <w:keepLines w:val="0"/>
        <w:pageBreakBefore w:val="0"/>
        <w:widowControl w:val="0"/>
        <w:numPr>
          <w:ilvl w:val="0"/>
          <w:numId w:val="6"/>
        </w:numPr>
        <w:tabs>
          <w:tab w:val="left" w:pos="142"/>
        </w:tabs>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正文内容</w:t>
      </w:r>
    </w:p>
    <w:p w14:paraId="34F271B5">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（1）一级标题采用宋体四号、加粗，二级标题采用宋体小四号、加粗，三级标题采用宋体小四号；各级标题采用阿拉伯数字编号（如：1．；2．；3．；…，1.1； 1.2；1.3；…），数字编号与标题内容间隔2个字符。</w:t>
      </w:r>
    </w:p>
    <w:p w14:paraId="5BA78470">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（2）正文采用宋体小四号，首行缩进2字符，行距1.25倍，段前和段后各0.25行，两端对齐。正文数字和英文字体均采用Times New Roman小四号。</w:t>
      </w:r>
    </w:p>
    <w:p w14:paraId="02D80F31">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（3）脚注采用楷体小五号，单倍行距，段前和段后各0.25行，脚注和引文编号均使用阿拉伯数字1,2,3…，</w:t>
      </w:r>
      <w:r>
        <w:rPr>
          <w:rFonts w:hint="default" w:ascii="Times New Roman" w:hAnsi="Times New Roman" w:eastAsia="仿宋_GB2312" w:cs="Times New Roman"/>
          <w:bCs/>
          <w:sz w:val="32"/>
          <w:szCs w:val="32"/>
        </w:rPr>
        <w:t>应附于有关内容同页下端，用横线与正文断开</w:t>
      </w:r>
      <w:r>
        <w:rPr>
          <w:rFonts w:hint="default" w:ascii="Times New Roman" w:hAnsi="Times New Roman" w:eastAsia="仿宋_GB2312" w:cs="Times New Roman"/>
          <w:sz w:val="32"/>
          <w:szCs w:val="32"/>
        </w:rPr>
        <w:t>。</w:t>
      </w:r>
    </w:p>
    <w:p w14:paraId="38AC0DC3">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（4）图、表均使用阿拉伯数字依序、连续编号，如：图1，表1，公式1等。中文采用宋体五号、英文采用Times New Roman五号，加粗。图序及图名置于图的下方，居中，图序与图名之间空一格。表序及表名置于表的上方，居中，表序与表名之间空一格。</w:t>
      </w:r>
    </w:p>
    <w:p w14:paraId="7EA6BB08">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页码使</w:t>
      </w:r>
      <w:r>
        <w:rPr>
          <w:rFonts w:hint="default" w:ascii="Times New Roman" w:hAnsi="Times New Roman" w:eastAsia="仿宋_GB2312" w:cs="Times New Roman"/>
          <w:sz w:val="32"/>
        </w:rPr>
        <w:t>用Times New Roman小</w:t>
      </w:r>
      <w:r>
        <w:rPr>
          <w:rFonts w:hint="default" w:ascii="Times New Roman" w:hAnsi="Times New Roman" w:eastAsia="仿宋_GB2312" w:cs="Times New Roman"/>
          <w:sz w:val="32"/>
          <w:lang w:val="en-US" w:eastAsia="zh-CN"/>
        </w:rPr>
        <w:t>五</w:t>
      </w:r>
      <w:r>
        <w:rPr>
          <w:rFonts w:hint="default" w:ascii="Times New Roman" w:hAnsi="Times New Roman" w:eastAsia="仿宋_GB2312" w:cs="Times New Roman"/>
          <w:sz w:val="32"/>
        </w:rPr>
        <w:t>号半角阿拉伯数字，</w:t>
      </w:r>
      <w:r>
        <w:rPr>
          <w:rFonts w:hint="default" w:ascii="Times New Roman" w:hAnsi="Times New Roman" w:eastAsia="仿宋_GB2312" w:cs="Times New Roman"/>
          <w:sz w:val="32"/>
          <w:lang w:val="en-US" w:eastAsia="zh-CN"/>
        </w:rPr>
        <w:t>页面底部</w:t>
      </w:r>
      <w:r>
        <w:rPr>
          <w:rFonts w:hint="default" w:ascii="Times New Roman" w:hAnsi="Times New Roman" w:eastAsia="仿宋_GB2312" w:cs="Times New Roman"/>
          <w:sz w:val="32"/>
        </w:rPr>
        <w:t>居中对齐。</w:t>
      </w:r>
      <w:r>
        <w:rPr>
          <w:rFonts w:hint="default" w:ascii="Times New Roman" w:hAnsi="Times New Roman" w:eastAsia="仿宋_GB2312" w:cs="Times New Roman"/>
          <w:sz w:val="32"/>
          <w:lang w:val="en-US" w:eastAsia="zh-CN"/>
        </w:rPr>
        <w:t>页码从正文第1页开始编制，封面不编页码。</w:t>
      </w:r>
    </w:p>
    <w:p w14:paraId="7C446398">
      <w:pPr>
        <w:pStyle w:val="12"/>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560" w:lineRule="exact"/>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rPr>
        <w:t>排版样例</w:t>
      </w:r>
      <w:r>
        <w:rPr>
          <w:rFonts w:hint="eastAsia" w:ascii="楷体" w:hAnsi="楷体" w:eastAsia="楷体" w:cs="楷体"/>
          <w:b/>
          <w:bCs/>
          <w:sz w:val="32"/>
          <w:szCs w:val="32"/>
          <w:lang w:val="en-US" w:eastAsia="zh-CN"/>
        </w:rPr>
        <w:t>附后</w:t>
      </w:r>
    </w:p>
    <w:p w14:paraId="12EE4F0E">
      <w:pPr>
        <w:pStyle w:val="12"/>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560" w:lineRule="exact"/>
        <w:textAlignment w:val="auto"/>
        <w:outlineLvl w:val="9"/>
        <w:rPr>
          <w:rFonts w:hint="default" w:ascii="楷体" w:hAnsi="楷体" w:eastAsia="楷体" w:cs="楷体"/>
          <w:b/>
          <w:bCs/>
          <w:sz w:val="32"/>
          <w:szCs w:val="32"/>
          <w:lang w:val="en-US" w:eastAsia="zh-CN"/>
        </w:rPr>
      </w:pPr>
    </w:p>
    <w:p w14:paraId="72C6FF50">
      <w:pPr>
        <w:pStyle w:val="12"/>
        <w:keepNext w:val="0"/>
        <w:keepLines w:val="0"/>
        <w:pageBreakBefore w:val="0"/>
        <w:widowControl w:val="0"/>
        <w:tabs>
          <w:tab w:val="left" w:pos="142"/>
        </w:tabs>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第二部分 视频格式</w:t>
      </w:r>
    </w:p>
    <w:p w14:paraId="0D46A586">
      <w:pPr>
        <w:pStyle w:val="12"/>
        <w:keepNext w:val="0"/>
        <w:keepLines w:val="0"/>
        <w:pageBreakBefore w:val="0"/>
        <w:widowControl w:val="0"/>
        <w:numPr>
          <w:ilvl w:val="0"/>
          <w:numId w:val="7"/>
        </w:numPr>
        <w:tabs>
          <w:tab w:val="left" w:pos="142"/>
        </w:tabs>
        <w:kinsoku/>
        <w:wordWrap/>
        <w:overflowPunct/>
        <w:topLinePunct w:val="0"/>
        <w:autoSpaceDE/>
        <w:autoSpaceDN/>
        <w:bidi w:val="0"/>
        <w:adjustRightInd/>
        <w:snapToGrid/>
        <w:spacing w:line="560" w:lineRule="exact"/>
        <w:ind w:left="0" w:firstLine="640" w:firstLineChars="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视频拍摄要求</w:t>
      </w:r>
    </w:p>
    <w:p w14:paraId="1F6646AD">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
          <w:sz w:val="32"/>
          <w:szCs w:val="32"/>
        </w:rPr>
        <w:t>基本规范。</w:t>
      </w:r>
      <w:r>
        <w:rPr>
          <w:rFonts w:hint="default" w:ascii="Times New Roman" w:hAnsi="Times New Roman" w:eastAsia="仿宋_GB2312" w:cs="Times New Roman"/>
          <w:sz w:val="32"/>
          <w:szCs w:val="32"/>
        </w:rPr>
        <w:t>案例视频应按案例框架分单元录制，录像环境需光线充足，出镜人员仪容整洁、衣着得体。录制方应具有专业且丰富的拍摄制作经验，不得在视频中发布、传播国家相关法律法规禁止的内容。</w:t>
      </w:r>
    </w:p>
    <w:p w14:paraId="5DFFD9E2">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2.录制设备。</w:t>
      </w:r>
      <w:r>
        <w:rPr>
          <w:rFonts w:hint="default" w:ascii="Times New Roman" w:hAnsi="Times New Roman" w:eastAsia="仿宋_GB2312" w:cs="Times New Roman"/>
          <w:bCs/>
          <w:sz w:val="32"/>
          <w:szCs w:val="32"/>
        </w:rPr>
        <w:t>录像设备：摄像机要求不低于专业级数字设备，推荐使用高清及以上数字设备；收音设备：推荐使用专业领夹收声设备，保证声音采集对象的录音质量；存储设备：专业储存设备应具有充足容量，保证完成拍摄任务；后期制作设备：使用相应的非线性编辑系统。</w:t>
      </w:r>
    </w:p>
    <w:p w14:paraId="373CD643">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3.视频形式。</w:t>
      </w:r>
      <w:r>
        <w:rPr>
          <w:rFonts w:hint="default" w:ascii="Times New Roman" w:hAnsi="Times New Roman" w:eastAsia="仿宋_GB2312" w:cs="Times New Roman"/>
          <w:bCs/>
          <w:sz w:val="32"/>
          <w:szCs w:val="32"/>
        </w:rPr>
        <w:t>成片统一采用视频MP4格式。</w:t>
      </w:r>
    </w:p>
    <w:p w14:paraId="003D513E">
      <w:pPr>
        <w:pStyle w:val="12"/>
        <w:keepNext w:val="0"/>
        <w:keepLines w:val="0"/>
        <w:pageBreakBefore w:val="0"/>
        <w:widowControl w:val="0"/>
        <w:numPr>
          <w:ilvl w:val="0"/>
          <w:numId w:val="7"/>
        </w:numPr>
        <w:tabs>
          <w:tab w:val="left" w:pos="142"/>
        </w:tabs>
        <w:kinsoku/>
        <w:wordWrap/>
        <w:overflowPunct/>
        <w:topLinePunct w:val="0"/>
        <w:autoSpaceDE/>
        <w:autoSpaceDN/>
        <w:bidi w:val="0"/>
        <w:adjustRightInd/>
        <w:snapToGrid/>
        <w:spacing w:line="560" w:lineRule="exact"/>
        <w:ind w:left="0" w:firstLine="640" w:firstLineChars="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视频制作要求</w:t>
      </w:r>
    </w:p>
    <w:p w14:paraId="1B38ECA8">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1.软件。</w:t>
      </w:r>
      <w:r>
        <w:rPr>
          <w:rFonts w:hint="default" w:ascii="Times New Roman" w:hAnsi="Times New Roman" w:eastAsia="仿宋_GB2312" w:cs="Times New Roman"/>
          <w:sz w:val="32"/>
          <w:szCs w:val="32"/>
        </w:rPr>
        <w:t>使用专业非线性编辑系统对源视频进行最基本的处理（如抠像、颜色校正、双声道处理等），使用专业的视频编辑系统进行视频降噪、音频降噪。</w:t>
      </w:r>
    </w:p>
    <w:p w14:paraId="3F177A2B">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2.片头。</w:t>
      </w:r>
      <w:r>
        <w:rPr>
          <w:rFonts w:hint="default" w:ascii="Times New Roman" w:hAnsi="Times New Roman" w:eastAsia="仿宋_GB2312" w:cs="Times New Roman"/>
          <w:sz w:val="32"/>
          <w:szCs w:val="32"/>
        </w:rPr>
        <w:t>使用专业的后期合成软件进行片头设计，播放时间不超过30秒。</w:t>
      </w:r>
    </w:p>
    <w:p w14:paraId="6255A8EF">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3.内容。</w:t>
      </w:r>
      <w:r>
        <w:rPr>
          <w:rFonts w:hint="default" w:ascii="Times New Roman" w:hAnsi="Times New Roman" w:eastAsia="仿宋_GB2312" w:cs="Times New Roman"/>
          <w:sz w:val="32"/>
          <w:szCs w:val="32"/>
        </w:rPr>
        <w:t>按照章节框架，剪辑删除状态不佳、口误、出镜、停顿等片段。实操部分添加必要的背景音乐，保证制作无错误、无硬伤，画面美观、排版规范、逻辑完整。</w:t>
      </w:r>
    </w:p>
    <w:p w14:paraId="4EDE96AC">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4.片尾。</w:t>
      </w:r>
      <w:r>
        <w:rPr>
          <w:rFonts w:hint="default" w:ascii="Times New Roman" w:hAnsi="Times New Roman" w:eastAsia="仿宋_GB2312" w:cs="Times New Roman"/>
          <w:sz w:val="32"/>
          <w:szCs w:val="32"/>
        </w:rPr>
        <w:t>显示内容：制作单位、录制时间等信息。字体设计：华文楷体，55字号，居中位置。</w:t>
      </w:r>
    </w:p>
    <w:p w14:paraId="0875BB70">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.成片。</w:t>
      </w:r>
      <w:r>
        <w:rPr>
          <w:rFonts w:hint="default" w:ascii="Times New Roman" w:hAnsi="Times New Roman" w:eastAsia="仿宋_GB2312" w:cs="Times New Roman"/>
          <w:sz w:val="32"/>
          <w:szCs w:val="32"/>
        </w:rPr>
        <w:t>使用专业非线性编辑系统渲染成片，所有内容编辑结束之后，生成成片，成品为高清制式。</w:t>
      </w:r>
    </w:p>
    <w:p w14:paraId="07CA49A3">
      <w:pPr>
        <w:pStyle w:val="12"/>
        <w:keepNext w:val="0"/>
        <w:keepLines w:val="0"/>
        <w:pageBreakBefore w:val="0"/>
        <w:widowControl w:val="0"/>
        <w:numPr>
          <w:ilvl w:val="0"/>
          <w:numId w:val="7"/>
        </w:numPr>
        <w:tabs>
          <w:tab w:val="left" w:pos="142"/>
        </w:tabs>
        <w:kinsoku/>
        <w:wordWrap/>
        <w:overflowPunct/>
        <w:topLinePunct w:val="0"/>
        <w:autoSpaceDE/>
        <w:autoSpaceDN/>
        <w:bidi w:val="0"/>
        <w:adjustRightInd/>
        <w:snapToGrid/>
        <w:spacing w:line="560" w:lineRule="exact"/>
        <w:ind w:left="0" w:firstLine="640" w:firstLineChars="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视频技术要求</w:t>
      </w:r>
    </w:p>
    <w:p w14:paraId="441E9C45">
      <w:pPr>
        <w:pStyle w:val="12"/>
        <w:keepNext w:val="0"/>
        <w:keepLines w:val="0"/>
        <w:pageBreakBefore w:val="0"/>
        <w:widowControl w:val="0"/>
        <w:kinsoku/>
        <w:wordWrap/>
        <w:overflowPunct/>
        <w:topLinePunct w:val="0"/>
        <w:autoSpaceDE/>
        <w:autoSpaceDN/>
        <w:bidi w:val="0"/>
        <w:adjustRightInd/>
        <w:snapToGrid/>
        <w:spacing w:line="560" w:lineRule="exact"/>
        <w:ind w:right="-218" w:rightChars="-104"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1.视频压缩。</w:t>
      </w:r>
      <w:r>
        <w:rPr>
          <w:rFonts w:hint="default" w:ascii="Times New Roman" w:hAnsi="Times New Roman" w:eastAsia="仿宋_GB2312" w:cs="Times New Roman"/>
          <w:sz w:val="32"/>
          <w:szCs w:val="32"/>
        </w:rPr>
        <w:t>采用H.264(MPEG-4Part10：profile=main, level=3.0)编码、不包含字幕 MP4格式。</w:t>
      </w:r>
    </w:p>
    <w:p w14:paraId="0103CCF5">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2.视频比特率。</w:t>
      </w:r>
      <w:r>
        <w:rPr>
          <w:rFonts w:hint="default" w:ascii="Times New Roman" w:hAnsi="Times New Roman" w:eastAsia="仿宋_GB2312" w:cs="Times New Roman"/>
          <w:sz w:val="32"/>
          <w:szCs w:val="32"/>
        </w:rPr>
        <w:t>比特率编码为VBR 1次，目标比特率不高于10 Mbps，最大比特率不得低于5Mbps。</w:t>
      </w:r>
    </w:p>
    <w:p w14:paraId="78E6416E">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3.分辨率及宽高比。</w:t>
      </w:r>
      <w:r>
        <w:rPr>
          <w:rFonts w:hint="default" w:ascii="Times New Roman" w:hAnsi="Times New Roman" w:eastAsia="仿宋_GB2312" w:cs="Times New Roman"/>
          <w:sz w:val="32"/>
          <w:szCs w:val="32"/>
        </w:rPr>
        <w:t>分辨率设定为 1920×1080的像素，画幅高宽比为16:9。在同一视频中，各画幅的宽高比统一、各片段分辨率统一。</w:t>
      </w:r>
    </w:p>
    <w:p w14:paraId="7CB9AD17">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4.视频帧率。</w:t>
      </w:r>
      <w:r>
        <w:rPr>
          <w:rFonts w:hint="default" w:ascii="Times New Roman" w:hAnsi="Times New Roman" w:eastAsia="仿宋_GB2312" w:cs="Times New Roman"/>
          <w:sz w:val="32"/>
          <w:szCs w:val="32"/>
        </w:rPr>
        <w:t>25帧/秒，扫描方式采用逐行扫描。</w:t>
      </w:r>
    </w:p>
    <w:p w14:paraId="09E365B1">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5.音频压缩格式及技术参数。</w:t>
      </w:r>
      <w:r>
        <w:rPr>
          <w:rFonts w:hint="default" w:ascii="Times New Roman" w:hAnsi="Times New Roman" w:eastAsia="仿宋_GB2312" w:cs="Times New Roman"/>
          <w:sz w:val="32"/>
          <w:szCs w:val="32"/>
        </w:rPr>
        <w:t>音频压缩采用AAC（MPEG4 Part3）格式，采样率48KHz，音频码流率128Kbps。</w:t>
      </w:r>
    </w:p>
    <w:p w14:paraId="40CCA86E">
      <w:pPr>
        <w:pStyle w:val="1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6.字幕规范。</w:t>
      </w:r>
      <w:r>
        <w:rPr>
          <w:rFonts w:hint="default" w:ascii="Times New Roman" w:hAnsi="Times New Roman" w:eastAsia="仿宋_GB2312" w:cs="Times New Roman"/>
          <w:sz w:val="32"/>
          <w:szCs w:val="32"/>
        </w:rPr>
        <w:t>字幕使用要符合国家标准的规范字，不出现繁体字、异体字、错别字。字幕的字体、大小、色彩搭配、摆放位置、停留时间、出入屏方式力求与其他要素（画面、解说词、音乐）配合适当，不能破坏原画面。每屏字幕不多于两行，每行不超过20个字，保持每屏出现位置一致。不简单按照字数断句，以内容为依据。</w:t>
      </w:r>
    </w:p>
    <w:p w14:paraId="2885D59B">
      <w:pPr>
        <w:pStyle w:val="12"/>
        <w:tabs>
          <w:tab w:val="left" w:pos="142"/>
        </w:tabs>
        <w:spacing w:line="560" w:lineRule="exact"/>
        <w:ind w:left="0" w:leftChars="0" w:firstLine="0" w:firstLineChars="0"/>
        <w:jc w:val="left"/>
        <w:rPr>
          <w:rFonts w:hint="default" w:ascii="Times New Roman" w:hAnsi="Times New Roman" w:eastAsia="仿宋_GB2312" w:cs="Times New Roman"/>
          <w:sz w:val="32"/>
          <w:szCs w:val="32"/>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p>
    <w:p w14:paraId="1A11764E">
      <w:pPr>
        <w:keepNext/>
        <w:keepLines/>
        <w:widowControl w:val="0"/>
        <w:spacing w:before="78" w:after="78" w:line="578" w:lineRule="auto"/>
        <w:jc w:val="left"/>
        <w:outlineLvl w:val="2"/>
        <w:rPr>
          <w:rFonts w:hint="default" w:ascii="Times New Roman" w:hAnsi="Times New Roman" w:eastAsia="宋体" w:cs="Times New Roman"/>
          <w:b/>
          <w:bCs/>
          <w:kern w:val="44"/>
          <w:sz w:val="28"/>
          <w:szCs w:val="40"/>
          <w:lang w:val="en-US" w:eastAsia="zh-CN" w:bidi="ar-SA"/>
        </w:rPr>
      </w:pPr>
      <w:r>
        <w:rPr>
          <w:rFonts w:hint="default" w:ascii="Times New Roman" w:hAnsi="Times New Roman" w:eastAsia="宋体" w:cs="Times New Roman"/>
          <w:b/>
          <w:bCs/>
          <w:kern w:val="44"/>
          <w:sz w:val="28"/>
          <w:szCs w:val="40"/>
          <w:lang w:val="en-US" w:eastAsia="zh-CN" w:bidi="ar-SA"/>
        </w:rPr>
        <w:t>封面</w:t>
      </w:r>
    </w:p>
    <w:p w14:paraId="75423AA3">
      <w:pPr>
        <w:widowControl/>
        <w:spacing w:before="78" w:beforeLines="25" w:after="78" w:afterLines="25" w:line="300" w:lineRule="auto"/>
        <w:ind w:firstLine="560" w:firstLineChars="200"/>
        <w:jc w:val="left"/>
        <w:rPr>
          <w:rFonts w:hint="default" w:ascii="Times New Roman" w:hAnsi="Times New Roman" w:eastAsia="宋体" w:cs="Times New Roman"/>
          <w:sz w:val="28"/>
          <w:szCs w:val="40"/>
        </w:rPr>
      </w:pPr>
    </w:p>
    <w:p w14:paraId="0FFA47F4">
      <w:pPr>
        <w:widowControl/>
        <w:tabs>
          <w:tab w:val="left" w:pos="3514"/>
          <w:tab w:val="left" w:pos="4382"/>
        </w:tabs>
        <w:spacing w:before="78" w:beforeLines="25" w:after="156" w:afterLines="50" w:line="600" w:lineRule="exact"/>
        <w:ind w:firstLine="167" w:firstLineChars="38"/>
        <w:jc w:val="center"/>
        <w:rPr>
          <w:rFonts w:hint="eastAsia" w:ascii="黑体" w:hAnsi="黑体" w:eastAsia="黑体" w:cs="黑体"/>
          <w:bCs/>
          <w:sz w:val="44"/>
          <w:szCs w:val="44"/>
          <w:lang w:val="en-US" w:eastAsia="zh-CN"/>
        </w:rPr>
      </w:pPr>
      <w:r>
        <w:rPr>
          <w:rFonts w:hint="eastAsia" w:ascii="黑体" w:hAnsi="黑体" w:eastAsia="黑体" w:cs="黑体"/>
          <w:bCs/>
          <w:sz w:val="44"/>
          <w:szCs w:val="44"/>
        </w:rPr>
        <w:t>案 例</w:t>
      </w:r>
      <w:r>
        <w:rPr>
          <w:rFonts w:hint="eastAsia" w:ascii="黑体" w:hAnsi="黑体" w:eastAsia="黑体" w:cs="黑体"/>
          <w:bCs/>
          <w:sz w:val="44"/>
          <w:szCs w:val="44"/>
          <w:lang w:val="en-US" w:eastAsia="zh-CN"/>
        </w:rPr>
        <w:t xml:space="preserve"> 库</w:t>
      </w:r>
      <w:r>
        <w:rPr>
          <w:rFonts w:hint="eastAsia" w:ascii="黑体" w:hAnsi="黑体" w:eastAsia="黑体" w:cs="黑体"/>
          <w:bCs/>
          <w:sz w:val="44"/>
          <w:szCs w:val="44"/>
        </w:rPr>
        <w:t xml:space="preserve"> </w:t>
      </w:r>
      <w:r>
        <w:rPr>
          <w:rFonts w:hint="eastAsia" w:ascii="黑体" w:hAnsi="黑体" w:eastAsia="黑体" w:cs="黑体"/>
          <w:bCs/>
          <w:sz w:val="44"/>
          <w:szCs w:val="44"/>
          <w:lang w:val="en-US" w:eastAsia="zh-CN"/>
        </w:rPr>
        <w:t>名</w:t>
      </w:r>
      <w:r>
        <w:rPr>
          <w:rFonts w:hint="eastAsia" w:ascii="黑体" w:hAnsi="黑体" w:eastAsia="黑体" w:cs="黑体"/>
          <w:bCs/>
          <w:sz w:val="44"/>
          <w:szCs w:val="44"/>
        </w:rPr>
        <w:t xml:space="preserve"> </w:t>
      </w:r>
      <w:r>
        <w:rPr>
          <w:rFonts w:hint="eastAsia" w:ascii="黑体" w:hAnsi="黑体" w:eastAsia="黑体" w:cs="黑体"/>
          <w:bCs/>
          <w:sz w:val="44"/>
          <w:szCs w:val="44"/>
          <w:lang w:val="en-US" w:eastAsia="zh-CN"/>
        </w:rPr>
        <w:t>称</w:t>
      </w:r>
    </w:p>
    <w:p w14:paraId="5EE2EBA6">
      <w:pPr>
        <w:widowControl/>
        <w:tabs>
          <w:tab w:val="left" w:pos="3514"/>
          <w:tab w:val="left" w:pos="4382"/>
        </w:tabs>
        <w:spacing w:before="78" w:beforeLines="25" w:after="156" w:afterLines="50" w:line="600" w:lineRule="exact"/>
        <w:ind w:firstLine="643" w:firstLineChars="200"/>
        <w:jc w:val="center"/>
        <w:rPr>
          <w:rFonts w:hint="default" w:ascii="Times New Roman" w:hAnsi="Times New Roman" w:eastAsia="方正仿宋简体" w:cs="Times New Roman"/>
          <w:b/>
          <w:bCs/>
          <w:sz w:val="32"/>
          <w:szCs w:val="32"/>
        </w:rPr>
      </w:pPr>
    </w:p>
    <w:p w14:paraId="3D2F31C0">
      <w:pPr>
        <w:widowControl/>
        <w:tabs>
          <w:tab w:val="left" w:pos="4382"/>
        </w:tabs>
        <w:spacing w:before="78" w:beforeLines="25" w:after="78" w:afterLines="25" w:line="1000" w:lineRule="exact"/>
        <w:ind w:firstLine="643" w:firstLineChars="200"/>
        <w:jc w:val="left"/>
        <w:rPr>
          <w:rFonts w:hint="default" w:ascii="Times New Roman" w:hAnsi="Times New Roman" w:eastAsia="方正仿宋简体" w:cs="Times New Roman"/>
          <w:b/>
          <w:bCs/>
          <w:sz w:val="32"/>
          <w:szCs w:val="32"/>
        </w:rPr>
      </w:pPr>
    </w:p>
    <w:p w14:paraId="6817C062">
      <w:pPr>
        <w:widowControl/>
        <w:tabs>
          <w:tab w:val="left" w:pos="4382"/>
        </w:tabs>
        <w:spacing w:before="78" w:beforeLines="25" w:after="78" w:afterLines="25" w:line="1000" w:lineRule="exact"/>
        <w:ind w:firstLine="643" w:firstLineChars="200"/>
        <w:jc w:val="left"/>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22"/>
        </w:rPr>
        <mc:AlternateContent>
          <mc:Choice Requires="wps">
            <w:drawing>
              <wp:anchor distT="0" distB="0" distL="114300" distR="114300" simplePos="0" relativeHeight="251662336" behindDoc="0" locked="0" layoutInCell="1" allowOverlap="1">
                <wp:simplePos x="0" y="0"/>
                <wp:positionH relativeFrom="column">
                  <wp:posOffset>1378585</wp:posOffset>
                </wp:positionH>
                <wp:positionV relativeFrom="paragraph">
                  <wp:posOffset>563245</wp:posOffset>
                </wp:positionV>
                <wp:extent cx="3346450" cy="635"/>
                <wp:effectExtent l="0" t="0" r="0" b="0"/>
                <wp:wrapNone/>
                <wp:docPr id="15" name="直接连接符 8"/>
                <wp:cNvGraphicFramePr/>
                <a:graphic xmlns:a="http://schemas.openxmlformats.org/drawingml/2006/main">
                  <a:graphicData uri="http://schemas.microsoft.com/office/word/2010/wordprocessingShape">
                    <wps:wsp>
                      <wps:cNvCnPr/>
                      <wps:spPr bwMode="auto">
                        <a:xfrm>
                          <a:off x="0" y="0"/>
                          <a:ext cx="3346450" cy="635"/>
                        </a:xfrm>
                        <a:prstGeom prst="line">
                          <a:avLst/>
                        </a:prstGeom>
                        <a:noFill/>
                        <a:ln w="9525">
                          <a:solidFill>
                            <a:srgbClr val="000000"/>
                          </a:solidFill>
                          <a:round/>
                        </a:ln>
                        <a:effectLst/>
                      </wps:spPr>
                      <wps:bodyPr/>
                    </wps:wsp>
                  </a:graphicData>
                </a:graphic>
              </wp:anchor>
            </w:drawing>
          </mc:Choice>
          <mc:Fallback>
            <w:pict>
              <v:line id="直接连接符 8" o:spid="_x0000_s1026" o:spt="20" style="position:absolute;left:0pt;margin-left:108.55pt;margin-top:44.35pt;height:0.05pt;width:263.5pt;z-index:251662336;mso-width-relative:page;mso-height-relative:page;" filled="f" stroked="t" coordsize="21600,21600" o:gfxdata="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mTUHdYAAAAJAQAADwAAAAAAAAABACAAAAAi&#10;AAAAZHJzL2Rvd25yZXYueG1sUEsBAhQAFAAAAAgAh07iQF29dTrTAQAAiQMAAA4AAAAAAAAAAQAg&#10;AAAAJQEAAGRycy9lMm9Eb2MueG1sUEsFBgAAAAAGAAYAWQEAAGoFAAAAAA==&#10;">
                <v:fill on="f" focussize="0,0"/>
                <v:stroke color="#000000" joinstyle="round"/>
                <v:imagedata o:title=""/>
                <o:lock v:ext="edit" aspectratio="f"/>
              </v:line>
            </w:pict>
          </mc:Fallback>
        </mc:AlternateContent>
      </w:r>
      <w:r>
        <w:rPr>
          <w:rFonts w:hint="eastAsia" w:ascii="Times New Roman" w:hAnsi="Times New Roman" w:cs="Times New Roman"/>
          <w:b/>
          <w:bCs/>
          <w:sz w:val="32"/>
          <w:szCs w:val="32"/>
          <w:lang w:val="en-US" w:eastAsia="zh-CN"/>
        </w:rPr>
        <w:t>案例1名称</w:t>
      </w:r>
      <w:r>
        <w:rPr>
          <w:rFonts w:hint="default" w:ascii="Times New Roman" w:hAnsi="Times New Roman" w:eastAsia="宋体" w:cs="Times New Roman"/>
          <w:b/>
          <w:bCs/>
          <w:sz w:val="32"/>
          <w:szCs w:val="32"/>
        </w:rPr>
        <w:t xml:space="preserve">： </w:t>
      </w:r>
    </w:p>
    <w:p w14:paraId="0CDD55E7">
      <w:pPr>
        <w:widowControl/>
        <w:tabs>
          <w:tab w:val="left" w:pos="4382"/>
        </w:tabs>
        <w:spacing w:before="78" w:beforeLines="25" w:after="78" w:afterLines="25" w:line="1000" w:lineRule="exact"/>
        <w:ind w:firstLine="643" w:firstLineChars="200"/>
        <w:jc w:val="left"/>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22"/>
        </w:rPr>
        <mc:AlternateContent>
          <mc:Choice Requires="wps">
            <w:drawing>
              <wp:anchor distT="0" distB="0" distL="114300" distR="114300" simplePos="0" relativeHeight="251663360" behindDoc="0" locked="0" layoutInCell="1" allowOverlap="1">
                <wp:simplePos x="0" y="0"/>
                <wp:positionH relativeFrom="column">
                  <wp:posOffset>1877060</wp:posOffset>
                </wp:positionH>
                <wp:positionV relativeFrom="paragraph">
                  <wp:posOffset>546735</wp:posOffset>
                </wp:positionV>
                <wp:extent cx="2851785" cy="635"/>
                <wp:effectExtent l="0" t="0" r="0" b="0"/>
                <wp:wrapNone/>
                <wp:docPr id="3" name="直接连接符 8"/>
                <wp:cNvGraphicFramePr/>
                <a:graphic xmlns:a="http://schemas.openxmlformats.org/drawingml/2006/main">
                  <a:graphicData uri="http://schemas.microsoft.com/office/word/2010/wordprocessingShape">
                    <wps:wsp>
                      <wps:cNvCnPr/>
                      <wps:spPr bwMode="auto">
                        <a:xfrm>
                          <a:off x="0" y="0"/>
                          <a:ext cx="2851785" cy="635"/>
                        </a:xfrm>
                        <a:prstGeom prst="line">
                          <a:avLst/>
                        </a:prstGeom>
                        <a:noFill/>
                        <a:ln w="9525">
                          <a:solidFill>
                            <a:srgbClr val="000000"/>
                          </a:solidFill>
                          <a:round/>
                        </a:ln>
                        <a:effectLst/>
                      </wps:spPr>
                      <wps:bodyPr/>
                    </wps:wsp>
                  </a:graphicData>
                </a:graphic>
              </wp:anchor>
            </w:drawing>
          </mc:Choice>
          <mc:Fallback>
            <w:pict>
              <v:line id="直接连接符 8" o:spid="_x0000_s1026" o:spt="20" style="position:absolute;left:0pt;margin-left:147.8pt;margin-top:43.05pt;height:0.05pt;width:224.55pt;z-index:251663360;mso-width-relative:page;mso-height-relative:page;" filled="f" stroked="t" coordsize="21600,21600" o:gfxdata="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li72bYAAAACQEAAA8AAAAAAAAAAQAgAAAA&#10;IgAAAGRycy9kb3ducmV2LnhtbFBLAQIUABQAAAAIAIdO4kATjPu/0gEAAIgDAAAOAAAAAAAAAAEA&#10;IAAAACcBAABkcnMvZTJvRG9jLnhtbFBLBQYAAAAABgAGAFkBAABrBQAAAAA=&#10;">
                <v:fill on="f" focussize="0,0"/>
                <v:stroke color="#000000" joinstyle="round"/>
                <v:imagedata o:title=""/>
                <o:lock v:ext="edit" aspectratio="f"/>
              </v:line>
            </w:pict>
          </mc:Fallback>
        </mc:AlternateContent>
      </w:r>
      <w:r>
        <w:rPr>
          <w:rFonts w:hint="default" w:ascii="Times New Roman" w:hAnsi="Times New Roman" w:eastAsia="宋体" w:cs="Times New Roman"/>
          <w:b/>
          <w:bCs/>
          <w:sz w:val="32"/>
          <w:szCs w:val="32"/>
          <w:lang w:eastAsia="zh-Hans"/>
        </w:rPr>
        <w:t>专业</w:t>
      </w:r>
      <w:r>
        <w:rPr>
          <w:rFonts w:hint="eastAsia" w:ascii="Times New Roman" w:hAnsi="Times New Roman" w:cs="Times New Roman"/>
          <w:b/>
          <w:bCs/>
          <w:sz w:val="32"/>
          <w:szCs w:val="32"/>
          <w:lang w:val="en-US" w:eastAsia="zh-CN"/>
        </w:rPr>
        <w:t>学位类别</w:t>
      </w:r>
      <w:r>
        <w:rPr>
          <w:rFonts w:hint="default" w:ascii="Times New Roman" w:hAnsi="Times New Roman" w:eastAsia="宋体" w:cs="Times New Roman"/>
          <w:b/>
          <w:bCs/>
          <w:sz w:val="32"/>
          <w:szCs w:val="32"/>
        </w:rPr>
        <w:t xml:space="preserve">：         XXX                         </w:t>
      </w:r>
    </w:p>
    <w:p w14:paraId="37BCE669">
      <w:pPr>
        <w:widowControl/>
        <w:tabs>
          <w:tab w:val="left" w:pos="4382"/>
        </w:tabs>
        <w:spacing w:before="78" w:beforeLines="25" w:after="78" w:afterLines="25" w:line="1000" w:lineRule="exact"/>
        <w:ind w:firstLine="640" w:firstLineChars="200"/>
        <w:jc w:val="left"/>
        <w:rPr>
          <w:rFonts w:hint="default" w:ascii="Times New Roman" w:hAnsi="Times New Roman" w:eastAsia="宋体" w:cs="Times New Roman"/>
          <w:b/>
          <w:bCs/>
          <w:sz w:val="32"/>
          <w:szCs w:val="32"/>
        </w:rPr>
      </w:pPr>
      <w:r>
        <w:rPr>
          <w:rFonts w:hint="default" w:ascii="Times New Roman" w:hAnsi="Times New Roman" w:eastAsia="宋体" w:cs="Times New Roman"/>
          <w:sz w:val="32"/>
          <w:szCs w:val="22"/>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572770</wp:posOffset>
                </wp:positionV>
                <wp:extent cx="3302000" cy="0"/>
                <wp:effectExtent l="0" t="4445" r="0" b="5080"/>
                <wp:wrapNone/>
                <wp:docPr id="16" name="直接连接符 7"/>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110pt;margin-top:45.1pt;height:0pt;width:260pt;z-index:251659264;mso-width-relative:page;mso-height-relative:page;" filled="f" stroked="t" coordsize="21600,21600" o:gfxdata="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WOeA1AAAAAkBAAAPAAAAAAAAAAEAIAAAACIAAABkcnMv&#10;ZG93bnJldi54bWxQSwECFAAUAAAACACHTuJAa4txC84BAACHAwAADgAAAAAAAAABACAAAAAjAQAA&#10;ZHJzL2Uyb0RvYy54bWxQSwUGAAAAAAYABgBZAQAAYwUAAAAA&#10;">
                <v:fill on="f" focussize="0,0"/>
                <v:stroke color="#000000" joinstyle="round"/>
                <v:imagedata o:title=""/>
                <o:lock v:ext="edit" aspectratio="f"/>
              </v:line>
            </w:pict>
          </mc:Fallback>
        </mc:AlternateContent>
      </w:r>
      <w:r>
        <w:rPr>
          <w:rFonts w:hint="default" w:ascii="Times New Roman" w:hAnsi="Times New Roman" w:eastAsia="宋体" w:cs="Times New Roman"/>
          <w:b/>
          <w:bCs/>
          <w:sz w:val="32"/>
          <w:szCs w:val="22"/>
          <w:lang w:eastAsia="zh-Hans"/>
        </w:rPr>
        <w:t>适用课程</w:t>
      </w:r>
      <w:r>
        <w:rPr>
          <w:rFonts w:hint="default" w:ascii="Times New Roman" w:hAnsi="Times New Roman" w:eastAsia="宋体" w:cs="Times New Roman"/>
          <w:b/>
          <w:bCs/>
          <w:sz w:val="32"/>
          <w:szCs w:val="32"/>
        </w:rPr>
        <w:t xml:space="preserve">：           XXX、XXX                      </w:t>
      </w:r>
    </w:p>
    <w:p w14:paraId="25700BB8">
      <w:pPr>
        <w:widowControl/>
        <w:tabs>
          <w:tab w:val="left" w:pos="4382"/>
        </w:tabs>
        <w:spacing w:before="78" w:beforeLines="25" w:after="78" w:afterLines="25" w:line="1000" w:lineRule="exact"/>
        <w:ind w:firstLine="640" w:firstLineChars="200"/>
        <w:jc w:val="left"/>
        <w:rPr>
          <w:rFonts w:hint="default" w:ascii="Times New Roman" w:hAnsi="Times New Roman" w:eastAsia="宋体" w:cs="Times New Roman"/>
          <w:b/>
          <w:bCs/>
          <w:sz w:val="32"/>
          <w:szCs w:val="32"/>
        </w:rPr>
      </w:pPr>
      <w:r>
        <w:rPr>
          <w:rFonts w:hint="default" w:ascii="Times New Roman" w:hAnsi="Times New Roman" w:eastAsia="宋体" w:cs="Times New Roman"/>
          <w:sz w:val="32"/>
          <w:szCs w:val="22"/>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563245</wp:posOffset>
                </wp:positionV>
                <wp:extent cx="3302000" cy="0"/>
                <wp:effectExtent l="0" t="4445" r="0" b="5080"/>
                <wp:wrapNone/>
                <wp:docPr id="17" name="直接连接符 6"/>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a:effectLst/>
                      </wps:spPr>
                      <wps:bodyPr/>
                    </wps:wsp>
                  </a:graphicData>
                </a:graphic>
              </wp:anchor>
            </w:drawing>
          </mc:Choice>
          <mc:Fallback>
            <w:pict>
              <v:line id="直接连接符 6" o:spid="_x0000_s1026" o:spt="20" style="position:absolute;left:0pt;margin-left:110pt;margin-top:44.35pt;height:0pt;width:260pt;z-index:251660288;mso-width-relative:page;mso-height-relative:page;" filled="f" stroked="t" coordsize="21600,21600" o:gfxdata="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XGJA1AAAAAkBAAAPAAAAAAAAAAEAIAAAACIAAABkcnMv&#10;ZG93bnJldi54bWxQSwECFAAUAAAACACHTuJAEqD3W84BAACHAwAADgAAAAAAAAABACAAAAAjAQAA&#10;ZHJzL2Uyb0RvYy54bWxQSwUGAAAAAAYABgBZAQAAYwUAAAAA&#10;">
                <v:fill on="f" focussize="0,0"/>
                <v:stroke color="#000000" joinstyle="round"/>
                <v:imagedata o:title=""/>
                <o:lock v:ext="edit" aspectratio="f"/>
              </v:line>
            </w:pict>
          </mc:Fallback>
        </mc:AlternateContent>
      </w:r>
      <w:r>
        <w:rPr>
          <w:rFonts w:hint="default" w:ascii="Times New Roman" w:hAnsi="Times New Roman" w:eastAsia="宋体" w:cs="Times New Roman"/>
          <w:b/>
          <w:bCs/>
          <w:sz w:val="32"/>
          <w:szCs w:val="22"/>
          <w:lang w:eastAsia="zh-Hans"/>
        </w:rPr>
        <w:t>作者姓名</w:t>
      </w:r>
      <w:r>
        <w:rPr>
          <w:rFonts w:hint="default" w:ascii="Times New Roman" w:hAnsi="Times New Roman" w:eastAsia="宋体" w:cs="Times New Roman"/>
          <w:b/>
          <w:bCs/>
          <w:sz w:val="32"/>
          <w:szCs w:val="32"/>
        </w:rPr>
        <w:t xml:space="preserve">：           XXX、XXX                    </w:t>
      </w:r>
    </w:p>
    <w:p w14:paraId="560F1ACE">
      <w:pPr>
        <w:widowControl/>
        <w:tabs>
          <w:tab w:val="left" w:pos="4382"/>
        </w:tabs>
        <w:spacing w:before="78" w:beforeLines="25" w:after="78" w:afterLines="25" w:line="1000" w:lineRule="exact"/>
        <w:ind w:firstLine="640" w:firstLineChars="200"/>
        <w:jc w:val="left"/>
        <w:rPr>
          <w:rFonts w:hint="default" w:ascii="Times New Roman" w:hAnsi="Times New Roman" w:eastAsia="宋体" w:cs="Times New Roman"/>
          <w:b/>
          <w:bCs/>
          <w:sz w:val="32"/>
          <w:szCs w:val="32"/>
        </w:rPr>
      </w:pPr>
      <w:r>
        <w:rPr>
          <w:rFonts w:hint="default" w:ascii="Times New Roman" w:hAnsi="Times New Roman" w:eastAsia="宋体" w:cs="Times New Roman"/>
          <w:sz w:val="32"/>
          <w:szCs w:val="22"/>
        </w:rPr>
        <mc:AlternateContent>
          <mc:Choice Requires="wps">
            <w:drawing>
              <wp:anchor distT="0" distB="0" distL="114300" distR="114300" simplePos="0" relativeHeight="251661312" behindDoc="0" locked="0" layoutInCell="1" allowOverlap="1">
                <wp:simplePos x="0" y="0"/>
                <wp:positionH relativeFrom="column">
                  <wp:posOffset>1397000</wp:posOffset>
                </wp:positionH>
                <wp:positionV relativeFrom="paragraph">
                  <wp:posOffset>565150</wp:posOffset>
                </wp:positionV>
                <wp:extent cx="3302000" cy="0"/>
                <wp:effectExtent l="0" t="4445" r="0" b="5080"/>
                <wp:wrapNone/>
                <wp:docPr id="18" name="直接连接符 5"/>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110pt;margin-top:44.5pt;height:0pt;width:260pt;z-index:251661312;mso-width-relative:page;mso-height-relative:page;" filled="f" stroked="t" coordsize="21600,21600" o:gfxdata="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9h7s9UAAAAJAQAADwAAAAAAAAABACAAAAAiAAAAZHJz&#10;L2Rvd25yZXYueG1sUEsBAhQAFAAAAAgAh07iQJXhqh3OAQAAhwMAAA4AAAAAAAAAAQAgAAAAJAEA&#10;AGRycy9lMm9Eb2MueG1sUEsFBgAAAAAGAAYAWQEAAGQFAAAAAA==&#10;">
                <v:fill on="f" focussize="0,0"/>
                <v:stroke color="#000000" joinstyle="round"/>
                <v:imagedata o:title=""/>
                <o:lock v:ext="edit" aspectratio="f"/>
              </v:line>
            </w:pict>
          </mc:Fallback>
        </mc:AlternateContent>
      </w:r>
      <w:r>
        <w:rPr>
          <w:rFonts w:hint="default" w:ascii="Times New Roman" w:hAnsi="Times New Roman" w:eastAsia="宋体" w:cs="Times New Roman"/>
          <w:b/>
          <w:bCs/>
          <w:sz w:val="32"/>
          <w:szCs w:val="22"/>
          <w:lang w:eastAsia="zh-Hans"/>
        </w:rPr>
        <w:t>工作单位</w:t>
      </w:r>
      <w:r>
        <w:rPr>
          <w:rFonts w:hint="default" w:ascii="Times New Roman" w:hAnsi="Times New Roman" w:eastAsia="宋体" w:cs="Times New Roman"/>
          <w:b/>
          <w:bCs/>
          <w:sz w:val="32"/>
          <w:szCs w:val="32"/>
        </w:rPr>
        <w:t xml:space="preserve">：       XXX大学XXX学院       </w:t>
      </w:r>
    </w:p>
    <w:p w14:paraId="75984984">
      <w:pPr>
        <w:widowControl/>
        <w:tabs>
          <w:tab w:val="left" w:pos="4382"/>
        </w:tabs>
        <w:spacing w:before="78" w:beforeLines="25" w:after="78" w:afterLines="25" w:line="1000" w:lineRule="exact"/>
        <w:ind w:firstLine="643" w:firstLineChars="200"/>
        <w:rPr>
          <w:rFonts w:hint="default" w:ascii="Times New Roman" w:hAnsi="Times New Roman" w:eastAsia="宋体" w:cs="Times New Roman"/>
          <w:b/>
          <w:bCs/>
          <w:sz w:val="32"/>
          <w:szCs w:val="32"/>
        </w:rPr>
      </w:pPr>
    </w:p>
    <w:p w14:paraId="220254CC">
      <w:pPr>
        <w:widowControl/>
        <w:tabs>
          <w:tab w:val="left" w:pos="4382"/>
        </w:tabs>
        <w:spacing w:before="78" w:beforeLines="25" w:after="78" w:afterLines="25" w:line="1000" w:lineRule="exact"/>
        <w:ind w:firstLine="643" w:firstLineChars="200"/>
        <w:rPr>
          <w:rFonts w:hint="default" w:ascii="Times New Roman" w:hAnsi="Times New Roman" w:eastAsia="宋体" w:cs="Times New Roman"/>
          <w:b/>
          <w:bCs/>
          <w:sz w:val="32"/>
          <w:szCs w:val="32"/>
        </w:rPr>
      </w:pPr>
    </w:p>
    <w:p w14:paraId="3456D59B">
      <w:pPr>
        <w:widowControl/>
        <w:tabs>
          <w:tab w:val="left" w:pos="4382"/>
        </w:tabs>
        <w:spacing w:before="78" w:beforeLines="25" w:after="78" w:afterLines="25" w:line="560" w:lineRule="exact"/>
        <w:ind w:firstLine="643" w:firstLineChars="200"/>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南京中医药大学</w:t>
      </w:r>
    </w:p>
    <w:p w14:paraId="6177285A">
      <w:pPr>
        <w:widowControl/>
        <w:tabs>
          <w:tab w:val="left" w:pos="4382"/>
        </w:tabs>
        <w:spacing w:before="78" w:beforeLines="25" w:after="78" w:afterLines="25" w:line="560" w:lineRule="exact"/>
        <w:ind w:firstLine="643" w:firstLineChars="20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lang w:val="en-US" w:eastAsia="zh-CN"/>
        </w:rPr>
        <w:t>XXX</w:t>
      </w:r>
      <w:r>
        <w:rPr>
          <w:rFonts w:hint="default" w:ascii="Times New Roman" w:hAnsi="Times New Roman" w:eastAsia="宋体" w:cs="Times New Roman"/>
          <w:b/>
          <w:bCs/>
          <w:sz w:val="32"/>
          <w:szCs w:val="32"/>
        </w:rPr>
        <w:t>X年X月X日</w:t>
      </w:r>
    </w:p>
    <w:p w14:paraId="5374606A">
      <w:pPr>
        <w:spacing w:before="78" w:beforeLines="25" w:after="78" w:afterLines="25" w:line="300" w:lineRule="auto"/>
        <w:ind w:firstLine="560"/>
        <w:jc w:val="left"/>
        <w:rPr>
          <w:rFonts w:hint="default" w:ascii="Times New Roman" w:hAnsi="Times New Roman" w:eastAsia="宋体" w:cs="Times New Roman"/>
          <w:sz w:val="28"/>
          <w:szCs w:val="40"/>
        </w:rPr>
        <w:sectPr>
          <w:headerReference r:id="rId12" w:type="first"/>
          <w:footerReference r:id="rId15" w:type="first"/>
          <w:headerReference r:id="rId10" w:type="default"/>
          <w:footerReference r:id="rId13" w:type="default"/>
          <w:headerReference r:id="rId11" w:type="even"/>
          <w:footerReference r:id="rId14" w:type="even"/>
          <w:footnotePr>
            <w:numFmt w:val="chicago"/>
          </w:footnotePr>
          <w:pgSz w:w="11906" w:h="16838"/>
          <w:pgMar w:top="1440" w:right="1800" w:bottom="1440" w:left="1800" w:header="851" w:footer="992" w:gutter="0"/>
          <w:cols w:space="720" w:num="1"/>
          <w:docGrid w:type="lines" w:linePitch="312" w:charSpace="0"/>
        </w:sectPr>
      </w:pPr>
    </w:p>
    <w:p w14:paraId="58302503">
      <w:pPr>
        <w:keepNext/>
        <w:keepLines/>
        <w:widowControl w:val="0"/>
        <w:spacing w:before="78" w:beforeLines="25" w:after="78" w:afterLines="25" w:line="300" w:lineRule="auto"/>
        <w:ind w:firstLine="0" w:firstLineChars="0"/>
        <w:jc w:val="left"/>
        <w:outlineLvl w:val="2"/>
        <w:rPr>
          <w:rFonts w:hint="default" w:ascii="Times New Roman" w:hAnsi="Times New Roman" w:eastAsia="宋体" w:cs="Times New Roman"/>
          <w:b/>
          <w:bCs/>
          <w:kern w:val="44"/>
          <w:sz w:val="28"/>
          <w:szCs w:val="40"/>
        </w:rPr>
      </w:pPr>
      <w:r>
        <w:rPr>
          <w:rFonts w:hint="default" w:ascii="Times New Roman" w:hAnsi="Times New Roman" w:eastAsia="宋体" w:cs="Times New Roman"/>
          <w:b/>
          <w:bCs/>
          <w:kern w:val="44"/>
          <w:sz w:val="28"/>
          <w:szCs w:val="40"/>
        </w:rPr>
        <w:t>案例</w:t>
      </w:r>
      <w:r>
        <w:rPr>
          <w:rFonts w:hint="eastAsia" w:ascii="Times New Roman" w:hAnsi="Times New Roman" w:cs="Times New Roman"/>
          <w:b/>
          <w:bCs/>
          <w:kern w:val="44"/>
          <w:sz w:val="28"/>
          <w:szCs w:val="40"/>
          <w:lang w:val="en-US" w:eastAsia="zh-CN"/>
        </w:rPr>
        <w:t>1</w:t>
      </w:r>
      <w:r>
        <w:rPr>
          <w:rFonts w:hint="default" w:ascii="Times New Roman" w:hAnsi="Times New Roman" w:eastAsia="宋体" w:cs="Times New Roman"/>
          <w:b/>
          <w:bCs/>
          <w:kern w:val="44"/>
          <w:sz w:val="28"/>
          <w:szCs w:val="40"/>
        </w:rPr>
        <w:t>正文</w:t>
      </w:r>
    </w:p>
    <w:p w14:paraId="0173DA3B">
      <w:pPr>
        <w:keepNext/>
        <w:keepLines/>
        <w:widowControl w:val="0"/>
        <w:spacing w:before="78" w:beforeLines="25" w:after="78" w:afterLines="25" w:line="300" w:lineRule="auto"/>
        <w:ind w:firstLine="0" w:firstLineChars="0"/>
        <w:jc w:val="center"/>
        <w:outlineLvl w:val="9"/>
        <w:rPr>
          <w:rFonts w:hint="default" w:ascii="Times New Roman" w:hAnsi="Times New Roman" w:eastAsia="幼圆" w:cs="Times New Roman"/>
          <w:b/>
          <w:bCs/>
          <w:kern w:val="44"/>
          <w:sz w:val="32"/>
          <w:szCs w:val="44"/>
        </w:rPr>
      </w:pPr>
      <w:r>
        <w:rPr>
          <w:rFonts w:hint="default" w:ascii="Times New Roman" w:hAnsi="Times New Roman" w:eastAsia="宋体" w:cs="Times New Roman"/>
          <w:b/>
          <w:color w:val="000000"/>
          <w:kern w:val="44"/>
          <w:sz w:val="32"/>
          <w:szCs w:val="44"/>
        </w:rPr>
        <w:t>东软嵌入式事业部的跨国并购之惑</w:t>
      </w:r>
    </w:p>
    <w:p w14:paraId="1900DA71">
      <w:pPr>
        <w:widowControl w:val="0"/>
        <w:spacing w:before="78" w:beforeLines="25" w:after="78" w:afterLines="25" w:line="300" w:lineRule="auto"/>
        <w:ind w:firstLine="0" w:firstLineChars="0"/>
        <w:jc w:val="center"/>
        <w:rPr>
          <w:rFonts w:hint="default" w:ascii="Times New Roman" w:hAnsi="Times New Roman" w:eastAsia="楷体" w:cs="Times New Roman"/>
          <w:sz w:val="32"/>
          <w:szCs w:val="28"/>
        </w:rPr>
      </w:pPr>
      <w:r>
        <w:rPr>
          <w:rFonts w:hint="default" w:ascii="Times New Roman" w:hAnsi="Times New Roman" w:eastAsia="楷体" w:cs="Times New Roman"/>
          <w:sz w:val="32"/>
          <w:szCs w:val="28"/>
        </w:rPr>
        <w:t>作者1 作者2</w:t>
      </w:r>
    </w:p>
    <w:p w14:paraId="3ED32B5E">
      <w:pPr>
        <w:widowControl w:val="0"/>
        <w:adjustRightInd w:val="0"/>
        <w:snapToGrid w:val="0"/>
        <w:spacing w:before="78" w:beforeLines="25" w:after="78" w:afterLines="25" w:line="300" w:lineRule="auto"/>
        <w:ind w:right="-105" w:rightChars="-50" w:firstLine="482"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b/>
          <w:sz w:val="24"/>
          <w:szCs w:val="24"/>
        </w:rPr>
        <w:t>摘要：</w:t>
      </w:r>
      <w:r>
        <w:rPr>
          <w:rFonts w:hint="default" w:ascii="Times New Roman" w:hAnsi="Times New Roman" w:eastAsia="宋体" w:cs="Times New Roman"/>
          <w:kern w:val="0"/>
          <w:sz w:val="24"/>
          <w:szCs w:val="24"/>
        </w:rPr>
        <w:t>进入21世纪后，中国企业的跨国并购成为海外直接投资的热点问题。成立于1999年的东软嵌入式事业部是东软集团（Neusoft，1991年创建）的核心事业部之一，主要承接诺基亚（NOKIA）的手机软件外包业务。2008年底，诺基亚外包业务策略发生重大调整：两年内将手机软件外包服务提供商的数量控制在3家,而位居第五的东软嵌入式事业部或将出局。外部环境突变促使东软嵌入式事业部选择跨国并购？该企业如何从事跨国并购？跨国并购能否助东软嵌入式事业部走出困境？</w:t>
      </w:r>
    </w:p>
    <w:p w14:paraId="0B7888D2">
      <w:pPr>
        <w:widowControl w:val="0"/>
        <w:spacing w:before="78" w:beforeLines="25" w:after="78" w:afterLines="25" w:line="300" w:lineRule="auto"/>
        <w:ind w:firstLine="482" w:firstLineChars="200"/>
        <w:rPr>
          <w:rFonts w:hint="default" w:ascii="Times New Roman" w:hAnsi="Times New Roman" w:eastAsia="Arial Unicode MS" w:cs="Times New Roman"/>
          <w:sz w:val="24"/>
          <w:szCs w:val="24"/>
        </w:rPr>
      </w:pPr>
      <w:r>
        <w:rPr>
          <w:rFonts w:hint="default" w:ascii="Times New Roman" w:hAnsi="Times New Roman" w:eastAsia="宋体" w:cs="Times New Roman"/>
          <w:b/>
          <w:bCs/>
          <w:sz w:val="24"/>
          <w:szCs w:val="22"/>
        </w:rPr>
        <w:t>Abstract：</w:t>
      </w:r>
      <w:r>
        <w:rPr>
          <w:rFonts w:hint="default" w:ascii="Times New Roman" w:hAnsi="Times New Roman" w:eastAsia="Arial Unicode MS" w:cs="Times New Roman"/>
          <w:sz w:val="24"/>
          <w:szCs w:val="24"/>
        </w:rPr>
        <w:t>Into the 21st century, cross-border mergers and acquisitions of Chinese enterprises has become a hot issue of foreign direct investment. Founded in 1999, Neusoft Embedded Division, which is one of the core division of Neusoft Group (Neusoft, created in 1991), takes the main business as to undertake the Nokia phone software outsourcing. But a major adjustment occurred to Nokia’s outsourcing strategy by the end of 2008.Within two years, Nokia’s software business will only contract to the top three vendors. Ranked fifth place, will the Neusoft embedded Division be out? In the face of mutation of the external environment, Why did the Neusoft embedded Division choose the cross-border mergers and acquisitions from many plans? How to engage in cross-border mergers and acquisitions? Can the cross-border mergers and acquisitions help Neusoft embedded Division get out of the dilemma?</w:t>
      </w:r>
    </w:p>
    <w:p w14:paraId="5C681CFA">
      <w:pPr>
        <w:widowControl w:val="0"/>
        <w:adjustRightInd w:val="0"/>
        <w:snapToGrid w:val="0"/>
        <w:spacing w:before="78" w:beforeLines="25" w:after="78" w:afterLines="25" w:line="300" w:lineRule="auto"/>
        <w:ind w:firstLine="482" w:firstLineChars="200"/>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bCs/>
          <w:sz w:val="24"/>
          <w:szCs w:val="22"/>
        </w:rPr>
        <w:t>关键词：</w:t>
      </w:r>
      <w:r>
        <w:rPr>
          <w:rFonts w:hint="default" w:ascii="Times New Roman" w:hAnsi="Times New Roman" w:eastAsia="宋体" w:cs="Times New Roman"/>
          <w:kern w:val="0"/>
          <w:sz w:val="24"/>
          <w:szCs w:val="24"/>
        </w:rPr>
        <w:t>跨国并购、企业全球化、手机软件外包</w:t>
      </w:r>
    </w:p>
    <w:p w14:paraId="7CE7E49F">
      <w:pPr>
        <w:widowControl w:val="0"/>
        <w:spacing w:before="78" w:beforeLines="25" w:after="78" w:afterLines="25" w:line="300" w:lineRule="auto"/>
        <w:ind w:firstLine="480" w:firstLineChars="200"/>
        <w:rPr>
          <w:rFonts w:hint="default" w:ascii="Times New Roman" w:hAnsi="Times New Roman" w:eastAsia="Arial Unicode MS" w:cs="Times New Roman"/>
          <w:sz w:val="24"/>
          <w:szCs w:val="24"/>
        </w:rPr>
      </w:pPr>
      <w:r>
        <w:rPr>
          <w:rFonts w:hint="default" w:ascii="Times New Roman" w:hAnsi="Times New Roman" w:eastAsia="Arial Unicode MS" w:cs="Times New Roman"/>
          <w:b/>
          <w:sz w:val="24"/>
          <w:szCs w:val="24"/>
        </w:rPr>
        <w:t>Keywords：</w:t>
      </w:r>
      <w:r>
        <w:rPr>
          <w:rFonts w:hint="default" w:ascii="Times New Roman" w:hAnsi="Times New Roman" w:eastAsia="Arial Unicode MS" w:cs="Times New Roman"/>
          <w:sz w:val="24"/>
          <w:szCs w:val="24"/>
        </w:rPr>
        <w:t>Cross-border Mergers and Acquisitions; Corporate globalization; Phone Software Outsourcing</w:t>
      </w:r>
    </w:p>
    <w:p w14:paraId="02B6C023">
      <w:pPr>
        <w:widowControl w:val="0"/>
        <w:spacing w:before="78" w:beforeLines="25" w:after="78" w:afterLines="25" w:line="30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作者信息：</w:t>
      </w:r>
      <w:r>
        <w:rPr>
          <w:rFonts w:hint="default" w:ascii="Times New Roman" w:hAnsi="Times New Roman" w:eastAsia="宋体" w:cs="Times New Roman"/>
          <w:sz w:val="24"/>
          <w:szCs w:val="24"/>
        </w:rPr>
        <w:t>作者1姓名，XXX大学XXX学院教授，院长；作者2姓名，XXX大学XXX学院xxxx级博士研究生。</w:t>
      </w:r>
    </w:p>
    <w:p w14:paraId="0FE4510E">
      <w:pPr>
        <w:spacing w:before="78" w:beforeLines="25" w:after="78" w:afterLines="25" w:line="300" w:lineRule="auto"/>
        <w:ind w:firstLine="562" w:firstLineChars="200"/>
        <w:contextualSpacing/>
        <w:jc w:val="left"/>
        <w:rPr>
          <w:rFonts w:hint="default" w:ascii="Times New Roman" w:hAnsi="Times New Roman" w:eastAsia="宋体" w:cs="Times New Roman"/>
          <w:b/>
          <w:bCs/>
          <w:sz w:val="28"/>
          <w:szCs w:val="28"/>
        </w:rPr>
        <w:sectPr>
          <w:footerReference r:id="rId16" w:type="default"/>
          <w:footnotePr>
            <w:numFmt w:val="chicago"/>
          </w:footnotePr>
          <w:pgSz w:w="11906" w:h="16838"/>
          <w:pgMar w:top="1440" w:right="1800" w:bottom="1440" w:left="1800" w:header="851" w:footer="992" w:gutter="0"/>
          <w:pgNumType w:fmt="decimal" w:start="1"/>
          <w:cols w:space="720" w:num="1"/>
          <w:docGrid w:type="lines" w:linePitch="312" w:charSpace="0"/>
        </w:sectPr>
      </w:pPr>
    </w:p>
    <w:p w14:paraId="25561F40">
      <w:pPr>
        <w:widowControl w:val="0"/>
        <w:spacing w:before="78" w:beforeLines="25" w:after="78" w:afterLines="25" w:line="300" w:lineRule="auto"/>
        <w:ind w:firstLine="562" w:firstLineChars="200"/>
        <w:contextualSpacing/>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引言</w:t>
      </w:r>
    </w:p>
    <w:p w14:paraId="7A2A99B7">
      <w:pPr>
        <w:widowControl w:val="0"/>
        <w:adjustRightInd w:val="0"/>
        <w:snapToGrid w:val="0"/>
        <w:spacing w:before="78" w:beforeLines="25" w:after="78" w:afterLines="25" w:line="30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2008年12月22日，</w:t>
      </w:r>
      <w:r>
        <w:rPr>
          <w:rFonts w:hint="default" w:ascii="Times New Roman" w:hAnsi="Times New Roman" w:eastAsia="宋体" w:cs="Times New Roman"/>
          <w:kern w:val="0"/>
          <w:sz w:val="24"/>
          <w:szCs w:val="24"/>
        </w:rPr>
        <w:t>东软集团嵌入式事业部总经理Michael匆匆赶到</w:t>
      </w:r>
      <w:r>
        <w:rPr>
          <w:rFonts w:hint="default" w:ascii="Times New Roman" w:hAnsi="Times New Roman" w:eastAsia="宋体" w:cs="Times New Roman"/>
          <w:color w:val="000000"/>
          <w:kern w:val="0"/>
          <w:sz w:val="24"/>
          <w:szCs w:val="24"/>
        </w:rPr>
        <w:t>位于北京亦庄的诺基亚中国总部</w:t>
      </w:r>
      <w:r>
        <w:rPr>
          <w:rFonts w:hint="default" w:ascii="Times New Roman" w:hAnsi="Times New Roman" w:eastAsia="宋体" w:cs="Times New Roman"/>
          <w:kern w:val="0"/>
          <w:sz w:val="24"/>
          <w:szCs w:val="24"/>
        </w:rPr>
        <w:t>，参加</w:t>
      </w:r>
      <w:r>
        <w:rPr>
          <w:rFonts w:hint="default" w:ascii="Times New Roman" w:hAnsi="Times New Roman" w:eastAsia="宋体" w:cs="Times New Roman"/>
          <w:color w:val="000000"/>
          <w:kern w:val="0"/>
          <w:sz w:val="24"/>
          <w:szCs w:val="24"/>
        </w:rPr>
        <w:t>诺基亚面向全球软件服务供应商召开的本年度最后一次QBR(季度业务回顾)会议</w:t>
      </w:r>
      <w:r>
        <w:rPr>
          <w:rFonts w:hint="default" w:ascii="Times New Roman" w:hAnsi="Times New Roman" w:eastAsia="宋体" w:cs="Times New Roman"/>
          <w:sz w:val="24"/>
          <w:szCs w:val="22"/>
        </w:rPr>
        <w:t>……</w:t>
      </w:r>
    </w:p>
    <w:p w14:paraId="73589619">
      <w:pPr>
        <w:widowControl w:val="0"/>
        <w:numPr>
          <w:ilvl w:val="0"/>
          <w:numId w:val="8"/>
        </w:numPr>
        <w:spacing w:before="78" w:beforeLines="25" w:after="78" w:afterLines="25" w:line="300" w:lineRule="auto"/>
        <w:ind w:firstLine="562" w:firstLineChars="200"/>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东软集团与嵌入式事业部</w:t>
      </w:r>
    </w:p>
    <w:p w14:paraId="24F7ED2D">
      <w:pPr>
        <w:widowControl w:val="0"/>
        <w:adjustRightInd w:val="0"/>
        <w:snapToGrid w:val="0"/>
        <w:spacing w:before="78" w:beforeLines="25" w:after="78" w:afterLines="25" w:line="300" w:lineRule="auto"/>
        <w:ind w:firstLine="482" w:firstLineChars="200"/>
        <w:outlineLvl w:val="9"/>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1.1东软集团</w:t>
      </w:r>
    </w:p>
    <w:p w14:paraId="7A13F748">
      <w:pPr>
        <w:widowControl w:val="0"/>
        <w:adjustRightInd w:val="0"/>
        <w:snapToGrid w:val="0"/>
        <w:spacing w:before="78" w:beforeLines="25" w:after="78" w:afterLines="25" w:line="30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东软集团（以下简称“东软”）成立于1991年，是</w:t>
      </w:r>
      <w:r>
        <w:rPr>
          <w:rFonts w:hint="default" w:ascii="Times New Roman" w:hAnsi="Times New Roman" w:eastAsia="宋体" w:cs="Times New Roman"/>
          <w:sz w:val="21"/>
          <w:szCs w:val="24"/>
        </w:rPr>
        <w:fldChar w:fldCharType="begin"/>
      </w:r>
      <w:r>
        <w:rPr>
          <w:rFonts w:hint="default" w:ascii="Times New Roman" w:hAnsi="Times New Roman" w:eastAsia="宋体" w:cs="Times New Roman"/>
          <w:sz w:val="21"/>
          <w:szCs w:val="24"/>
        </w:rPr>
        <w:instrText xml:space="preserve"> HYPERLINK "http://baike.baidu.com/view/61891.htm" \t "_blank" </w:instrText>
      </w:r>
      <w:r>
        <w:rPr>
          <w:rFonts w:hint="default" w:ascii="Times New Roman" w:hAnsi="Times New Roman" w:eastAsia="宋体" w:cs="Times New Roman"/>
          <w:sz w:val="21"/>
          <w:szCs w:val="24"/>
        </w:rPr>
        <w:fldChar w:fldCharType="separate"/>
      </w:r>
      <w:r>
        <w:rPr>
          <w:rFonts w:hint="default" w:ascii="Times New Roman" w:hAnsi="Times New Roman" w:eastAsia="宋体" w:cs="Times New Roman"/>
          <w:kern w:val="0"/>
          <w:sz w:val="24"/>
          <w:szCs w:val="24"/>
        </w:rPr>
        <w:t>中国</w:t>
      </w:r>
      <w:r>
        <w:rPr>
          <w:rFonts w:hint="default" w:ascii="Times New Roman" w:hAnsi="Times New Roman" w:eastAsia="宋体" w:cs="Times New Roman"/>
          <w:kern w:val="0"/>
          <w:sz w:val="24"/>
          <w:szCs w:val="24"/>
        </w:rPr>
        <w:fldChar w:fldCharType="end"/>
      </w:r>
      <w:r>
        <w:rPr>
          <w:rFonts w:hint="default" w:ascii="Times New Roman" w:hAnsi="Times New Roman" w:eastAsia="宋体" w:cs="Times New Roman"/>
          <w:kern w:val="0"/>
          <w:sz w:val="24"/>
          <w:szCs w:val="24"/>
        </w:rPr>
        <w:t>目前最大的IT解决方案与服务供应商之一。其业务涉及三大板块：智能终端、汽车电子和……</w:t>
      </w:r>
    </w:p>
    <w:p w14:paraId="4C131A23">
      <w:pPr>
        <w:widowControl w:val="0"/>
        <w:adjustRightInd w:val="0"/>
        <w:snapToGrid w:val="0"/>
        <w:spacing w:before="78" w:beforeLines="25" w:after="78" w:afterLines="25" w:line="300" w:lineRule="auto"/>
        <w:ind w:firstLine="482" w:firstLineChars="200"/>
        <w:outlineLvl w:val="9"/>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1.2 嵌入式软件事业部</w:t>
      </w:r>
    </w:p>
    <w:p w14:paraId="3E53D087">
      <w:pPr>
        <w:widowControl w:val="0"/>
        <w:adjustRightInd w:val="0"/>
        <w:snapToGrid w:val="0"/>
        <w:spacing w:before="78" w:beforeLines="25" w:after="78" w:afterLines="25" w:line="30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p w14:paraId="20869F11">
      <w:pPr>
        <w:widowControl w:val="0"/>
        <w:adjustRightInd w:val="0"/>
        <w:snapToGrid w:val="0"/>
        <w:spacing w:before="78" w:beforeLines="25" w:after="78" w:afterLines="25" w:line="30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嵌入式事业部相继在沈阳、大连、北京和成都成立研发中心，拥有员工1600余名，销售收入连续两年超过3亿元人民币，成为十年来集团内发展最快的事业部。嵌入式事业部的组织架构如图1所示。</w:t>
      </w:r>
    </w:p>
    <w:p w14:paraId="4B302856">
      <w:pPr>
        <w:widowControl w:val="0"/>
        <w:tabs>
          <w:tab w:val="left" w:pos="7200"/>
        </w:tabs>
        <w:adjustRightInd w:val="0"/>
        <w:snapToGrid w:val="0"/>
        <w:spacing w:before="78" w:beforeLines="25" w:after="78" w:afterLines="25" w:line="312" w:lineRule="auto"/>
        <w:ind w:firstLine="420" w:firstLineChars="0"/>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drawing>
          <wp:inline distT="0" distB="0" distL="114300" distR="114300">
            <wp:extent cx="3808095" cy="2015490"/>
            <wp:effectExtent l="0" t="0" r="1905"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3808095" cy="2015490"/>
                    </a:xfrm>
                    <a:prstGeom prst="rect">
                      <a:avLst/>
                    </a:prstGeom>
                    <a:noFill/>
                    <a:ln>
                      <a:noFill/>
                    </a:ln>
                  </pic:spPr>
                </pic:pic>
              </a:graphicData>
            </a:graphic>
          </wp:inline>
        </w:drawing>
      </w:r>
    </w:p>
    <w:p w14:paraId="6545B0B1">
      <w:pPr>
        <w:widowControl w:val="0"/>
        <w:spacing w:before="25" w:after="25" w:line="312"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图1 事业部组织架构</w:t>
      </w:r>
    </w:p>
    <w:p w14:paraId="647FB85B">
      <w:pPr>
        <w:widowControl w:val="0"/>
        <w:adjustRightInd w:val="0"/>
        <w:snapToGrid w:val="0"/>
        <w:spacing w:before="78" w:beforeLines="25" w:after="78" w:afterLines="25" w:line="312" w:lineRule="auto"/>
        <w:ind w:firstLine="472" w:firstLineChars="196"/>
        <w:outlineLvl w:val="9"/>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1.3  Michael与嵌入式事业部</w:t>
      </w:r>
    </w:p>
    <w:p w14:paraId="3A4F8218">
      <w:pPr>
        <w:widowControl w:val="0"/>
        <w:adjustRightInd w:val="0"/>
        <w:snapToGrid w:val="0"/>
        <w:spacing w:before="78" w:beforeLines="25" w:after="78" w:afterLines="25" w:line="312"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Michael于1991年从清华大学自动化系本科毕业，三年后获同校硕士学位，又于1998年取得同校博士学位。1999年7月……</w:t>
      </w:r>
    </w:p>
    <w:p w14:paraId="15BA2D92">
      <w:pPr>
        <w:widowControl w:val="0"/>
        <w:adjustRightInd w:val="0"/>
        <w:snapToGrid w:val="0"/>
        <w:spacing w:before="78" w:beforeLines="25" w:after="78" w:afterLines="25" w:line="312" w:lineRule="auto"/>
        <w:ind w:firstLine="482" w:firstLineChars="200"/>
        <w:outlineLvl w:val="9"/>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1.3.1 牵手索尼爱立信，涉足Brew平台(2000年-2004年)</w:t>
      </w:r>
    </w:p>
    <w:p w14:paraId="36FA63F2">
      <w:pPr>
        <w:widowControl w:val="0"/>
        <w:spacing w:before="78" w:beforeLines="25" w:after="78" w:afterLines="25" w:line="300" w:lineRule="auto"/>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kern w:val="0"/>
          <w:sz w:val="24"/>
          <w:szCs w:val="24"/>
        </w:rPr>
        <w:t>2000年，索尼爱立信为共同开发基于美国高通Brew</w:t>
      </w:r>
      <w:r>
        <w:rPr>
          <w:rFonts w:hint="default" w:ascii="Times New Roman" w:hAnsi="Times New Roman" w:eastAsia="宋体" w:cs="Times New Roman"/>
          <w:kern w:val="0"/>
          <w:sz w:val="24"/>
          <w:szCs w:val="24"/>
          <w:vertAlign w:val="superscript"/>
        </w:rPr>
        <w:footnoteReference w:id="0"/>
      </w:r>
      <w:r>
        <w:rPr>
          <w:rFonts w:hint="default" w:ascii="Times New Roman" w:hAnsi="Times New Roman" w:eastAsia="宋体" w:cs="Times New Roman"/>
          <w:kern w:val="0"/>
          <w:sz w:val="24"/>
          <w:szCs w:val="24"/>
        </w:rPr>
        <w:t>平台的智能手机，在全球范围内寻求合作伙伴。经东软日本株式会社</w:t>
      </w:r>
      <w:r>
        <w:rPr>
          <w:rFonts w:hint="default" w:ascii="Times New Roman" w:hAnsi="Times New Roman" w:eastAsia="宋体" w:cs="Times New Roman"/>
          <w:kern w:val="0"/>
          <w:sz w:val="24"/>
          <w:szCs w:val="24"/>
          <w:vertAlign w:val="superscript"/>
        </w:rPr>
        <w:footnoteReference w:id="1"/>
      </w:r>
      <w:r>
        <w:rPr>
          <w:rFonts w:hint="default" w:ascii="Times New Roman" w:hAnsi="Times New Roman" w:eastAsia="宋体" w:cs="Times New Roman"/>
          <w:kern w:val="0"/>
          <w:sz w:val="24"/>
          <w:szCs w:val="24"/>
        </w:rPr>
        <w:t>介绍，大连研发中心</w:t>
      </w:r>
      <w:r>
        <w:rPr>
          <w:rFonts w:hint="default" w:ascii="Times New Roman" w:hAnsi="Times New Roman" w:eastAsia="宋体" w:cs="Times New Roman"/>
          <w:color w:val="000000"/>
          <w:kern w:val="0"/>
          <w:sz w:val="24"/>
          <w:szCs w:val="24"/>
        </w:rPr>
        <w:t>……</w:t>
      </w:r>
    </w:p>
    <w:p w14:paraId="775620D7">
      <w:pPr>
        <w:spacing w:before="78" w:beforeLines="25" w:after="78" w:afterLines="25" w:line="300" w:lineRule="auto"/>
        <w:ind w:firstLine="480" w:firstLineChars="200"/>
        <w:jc w:val="left"/>
        <w:rPr>
          <w:rFonts w:hint="default" w:ascii="Times New Roman" w:hAnsi="Times New Roman" w:eastAsia="宋体" w:cs="Times New Roman"/>
          <w:color w:val="000000"/>
          <w:kern w:val="0"/>
          <w:sz w:val="24"/>
        </w:rPr>
        <w:sectPr>
          <w:footnotePr>
            <w:numRestart w:val="eachSect"/>
          </w:footnotePr>
          <w:pgSz w:w="11906" w:h="16838"/>
          <w:pgMar w:top="1440" w:right="1800" w:bottom="1440" w:left="1800" w:header="851" w:footer="992" w:gutter="0"/>
          <w:pgNumType w:fmt="decimal"/>
          <w:cols w:space="720" w:num="1"/>
          <w:docGrid w:type="lines" w:linePitch="312" w:charSpace="0"/>
        </w:sectPr>
      </w:pPr>
    </w:p>
    <w:p w14:paraId="3C822C89">
      <w:pPr>
        <w:keepNext/>
        <w:keepLines/>
        <w:widowControl w:val="0"/>
        <w:spacing w:before="78" w:beforeLines="25" w:after="78" w:afterLines="25" w:line="300" w:lineRule="auto"/>
        <w:ind w:firstLine="0" w:firstLineChars="0"/>
        <w:jc w:val="left"/>
        <w:outlineLvl w:val="2"/>
        <w:rPr>
          <w:rFonts w:hint="default" w:ascii="Times New Roman" w:hAnsi="Times New Roman" w:eastAsia="宋体" w:cs="Times New Roman"/>
          <w:b/>
          <w:bCs/>
          <w:kern w:val="44"/>
          <w:sz w:val="28"/>
          <w:szCs w:val="40"/>
        </w:rPr>
      </w:pPr>
      <w:r>
        <w:rPr>
          <w:rFonts w:hint="default" w:ascii="Times New Roman" w:hAnsi="Times New Roman" w:eastAsia="宋体" w:cs="Times New Roman"/>
          <w:b/>
          <w:bCs/>
          <w:kern w:val="44"/>
          <w:sz w:val="28"/>
          <w:szCs w:val="40"/>
        </w:rPr>
        <w:t>教学指导手册</w:t>
      </w:r>
    </w:p>
    <w:p w14:paraId="54FD0C00">
      <w:pPr>
        <w:keepNext/>
        <w:keepLines/>
        <w:widowControl w:val="0"/>
        <w:spacing w:before="78" w:beforeLines="25" w:after="78" w:afterLines="25" w:line="300" w:lineRule="auto"/>
        <w:ind w:firstLine="0" w:firstLineChars="0"/>
        <w:jc w:val="center"/>
        <w:outlineLvl w:val="9"/>
        <w:rPr>
          <w:rFonts w:hint="default" w:ascii="Times New Roman" w:hAnsi="Times New Roman" w:eastAsia="宋体" w:cs="Times New Roman"/>
          <w:b/>
          <w:bCs/>
          <w:kern w:val="44"/>
          <w:sz w:val="28"/>
          <w:szCs w:val="40"/>
        </w:rPr>
      </w:pPr>
      <w:r>
        <w:rPr>
          <w:rFonts w:hint="default" w:ascii="Times New Roman" w:hAnsi="Times New Roman" w:eastAsia="宋体" w:cs="Times New Roman"/>
          <w:b/>
          <w:color w:val="000000"/>
          <w:kern w:val="44"/>
          <w:sz w:val="32"/>
          <w:szCs w:val="44"/>
        </w:rPr>
        <w:t>东软嵌入式事业部的跨国并购之惑</w:t>
      </w:r>
    </w:p>
    <w:p w14:paraId="3FAD0EEE">
      <w:pPr>
        <w:widowControl w:val="0"/>
        <w:numPr>
          <w:ilvl w:val="0"/>
          <w:numId w:val="9"/>
        </w:numPr>
        <w:spacing w:before="78" w:beforeLines="25" w:after="78" w:afterLines="25" w:line="300" w:lineRule="auto"/>
        <w:ind w:firstLine="562" w:firstLineChars="200"/>
        <w:jc w:val="left"/>
        <w:outlineLvl w:val="9"/>
        <w:rPr>
          <w:rFonts w:hint="default" w:ascii="Times New Roman" w:hAnsi="Times New Roman" w:eastAsia="宋体" w:cs="Times New Roman"/>
          <w:b/>
          <w:bCs/>
          <w:color w:val="000000"/>
          <w:sz w:val="28"/>
          <w:szCs w:val="24"/>
        </w:rPr>
      </w:pPr>
      <w:r>
        <w:rPr>
          <w:rFonts w:hint="default" w:ascii="Times New Roman" w:hAnsi="Times New Roman" w:eastAsia="宋体" w:cs="Times New Roman"/>
          <w:b/>
          <w:bCs/>
          <w:color w:val="000000"/>
          <w:sz w:val="28"/>
          <w:szCs w:val="24"/>
        </w:rPr>
        <w:t>教学目标</w:t>
      </w:r>
    </w:p>
    <w:p w14:paraId="61C4CC9A">
      <w:pPr>
        <w:widowControl w:val="0"/>
        <w:numPr>
          <w:ilvl w:val="1"/>
          <w:numId w:val="9"/>
        </w:numPr>
        <w:spacing w:before="78" w:beforeLines="25" w:after="78" w:afterLines="25" w:line="300" w:lineRule="auto"/>
        <w:ind w:firstLine="482" w:firstLineChars="200"/>
        <w:jc w:val="left"/>
        <w:outlineLvl w:val="9"/>
        <w:rPr>
          <w:rFonts w:hint="default" w:ascii="Times New Roman" w:hAnsi="Times New Roman" w:eastAsia="宋体" w:cs="Times New Roman"/>
          <w:b/>
          <w:bCs/>
          <w:color w:val="000000"/>
          <w:sz w:val="24"/>
          <w:szCs w:val="22"/>
        </w:rPr>
      </w:pPr>
      <w:r>
        <w:rPr>
          <w:rFonts w:hint="default" w:ascii="Times New Roman" w:hAnsi="Times New Roman" w:eastAsia="宋体" w:cs="Times New Roman"/>
          <w:b/>
          <w:bCs/>
          <w:color w:val="000000"/>
          <w:sz w:val="24"/>
          <w:szCs w:val="22"/>
        </w:rPr>
        <w:t>教学用途</w:t>
      </w:r>
    </w:p>
    <w:p w14:paraId="61102EB0">
      <w:pPr>
        <w:widowControl w:val="0"/>
        <w:adjustRightInd w:val="0"/>
        <w:snapToGrid w:val="0"/>
        <w:spacing w:before="78" w:beforeLines="25" w:after="78" w:afterLines="25" w:line="30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本案例以东软嵌入式事业部的跨国并购之困惑为主要线索，探讨跨国并购的以下三个问题。</w:t>
      </w:r>
    </w:p>
    <w:p w14:paraId="36CD7073">
      <w:pPr>
        <w:widowControl w:val="0"/>
        <w:numPr>
          <w:ilvl w:val="0"/>
          <w:numId w:val="10"/>
        </w:numPr>
        <w:adjustRightInd w:val="0"/>
        <w:snapToGrid w:val="0"/>
        <w:spacing w:before="78" w:beforeLines="25" w:after="78" w:afterLines="25" w:line="30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中国企业跨国并购的动因。运用对外直接投资经典理论，比较分析绿地投资（</w:t>
      </w:r>
      <w:r>
        <w:rPr>
          <w:rFonts w:hint="default" w:ascii="Times New Roman" w:hAnsi="Times New Roman" w:eastAsia="宋体" w:cs="Times New Roman"/>
          <w:sz w:val="24"/>
          <w:szCs w:val="24"/>
        </w:rPr>
        <w:t>Greenfield Investment</w:t>
      </w:r>
      <w:r>
        <w:rPr>
          <w:rFonts w:hint="default" w:ascii="Times New Roman" w:hAnsi="Times New Roman" w:eastAsia="宋体" w:cs="Times New Roman"/>
          <w:kern w:val="0"/>
          <w:sz w:val="24"/>
          <w:szCs w:val="24"/>
        </w:rPr>
        <w:t>）与跨国并购的海外直接投资方式，探讨东软嵌入式事业部选择跨国并购的动机。</w:t>
      </w:r>
    </w:p>
    <w:p w14:paraId="1A5F0C9F">
      <w:pPr>
        <w:widowControl w:val="0"/>
        <w:numPr>
          <w:ilvl w:val="0"/>
          <w:numId w:val="10"/>
        </w:numPr>
        <w:adjustRightInd w:val="0"/>
        <w:snapToGrid w:val="0"/>
        <w:spacing w:before="78" w:beforeLines="25" w:after="78" w:afterLines="25" w:line="300" w:lineRule="auto"/>
        <w:ind w:firstLine="480" w:firstLineChars="200"/>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p w14:paraId="63B1961E">
      <w:pPr>
        <w:widowControl w:val="0"/>
        <w:numPr>
          <w:ilvl w:val="1"/>
          <w:numId w:val="9"/>
        </w:numPr>
        <w:spacing w:before="78" w:beforeLines="25" w:after="78" w:afterLines="25" w:line="300" w:lineRule="auto"/>
        <w:ind w:firstLine="482" w:firstLineChars="200"/>
        <w:outlineLvl w:val="9"/>
        <w:rPr>
          <w:rFonts w:hint="default" w:ascii="Times New Roman" w:hAnsi="Times New Roman" w:eastAsia="宋体" w:cs="Times New Roman"/>
          <w:b/>
          <w:bCs/>
          <w:color w:val="000000"/>
          <w:sz w:val="24"/>
          <w:szCs w:val="22"/>
        </w:rPr>
      </w:pPr>
      <w:r>
        <w:rPr>
          <w:rFonts w:hint="default" w:ascii="Times New Roman" w:hAnsi="Times New Roman" w:eastAsia="宋体" w:cs="Times New Roman"/>
          <w:b/>
          <w:bCs/>
          <w:color w:val="000000"/>
          <w:sz w:val="24"/>
          <w:szCs w:val="22"/>
        </w:rPr>
        <w:t>授课对象</w:t>
      </w:r>
    </w:p>
    <w:p w14:paraId="61EC2675">
      <w:pPr>
        <w:widowControl w:val="0"/>
        <w:adjustRightInd w:val="0"/>
        <w:snapToGrid w:val="0"/>
        <w:spacing w:before="78" w:beforeLines="25" w:after="78" w:afterLines="25" w:line="300" w:lineRule="auto"/>
        <w:ind w:firstLine="480" w:firstLineChars="200"/>
        <w:rPr>
          <w:rFonts w:hint="default" w:ascii="Times New Roman" w:hAnsi="Times New Roman" w:eastAsia="宋体" w:cs="Times New Roman"/>
          <w:b/>
          <w:bCs/>
          <w:color w:val="000000"/>
          <w:sz w:val="24"/>
          <w:szCs w:val="22"/>
        </w:rPr>
      </w:pPr>
      <w:r>
        <w:rPr>
          <w:rFonts w:hint="default" w:ascii="Times New Roman" w:hAnsi="Times New Roman" w:eastAsia="宋体" w:cs="Times New Roman"/>
          <w:kern w:val="0"/>
          <w:sz w:val="24"/>
          <w:szCs w:val="24"/>
        </w:rPr>
        <w:t>本案例主要为MBA、EMBA开发，适合有一定工作经验的学员和管理者学习，也可以用于工商管理各本科专业相关课程。</w:t>
      </w:r>
    </w:p>
    <w:p w14:paraId="76C7E1A5">
      <w:pPr>
        <w:widowControl w:val="0"/>
        <w:numPr>
          <w:ilvl w:val="1"/>
          <w:numId w:val="9"/>
        </w:numPr>
        <w:spacing w:before="78" w:beforeLines="25" w:after="78" w:afterLines="25" w:line="300" w:lineRule="auto"/>
        <w:ind w:firstLine="482" w:firstLineChars="200"/>
        <w:outlineLvl w:val="9"/>
        <w:rPr>
          <w:rFonts w:hint="default" w:ascii="Times New Roman" w:hAnsi="Times New Roman" w:eastAsia="宋体" w:cs="Times New Roman"/>
          <w:b/>
          <w:bCs/>
          <w:color w:val="000000"/>
          <w:sz w:val="24"/>
          <w:szCs w:val="22"/>
        </w:rPr>
      </w:pPr>
      <w:r>
        <w:rPr>
          <w:rFonts w:hint="default" w:ascii="Times New Roman" w:hAnsi="Times New Roman" w:eastAsia="宋体" w:cs="Times New Roman"/>
          <w:b/>
          <w:bCs/>
          <w:color w:val="000000"/>
          <w:sz w:val="24"/>
          <w:szCs w:val="22"/>
        </w:rPr>
        <w:t>适用课程</w:t>
      </w:r>
    </w:p>
    <w:p w14:paraId="2EB1FC18">
      <w:pPr>
        <w:widowControl w:val="0"/>
        <w:spacing w:before="78" w:beforeLines="25" w:after="78" w:afterLines="25" w:line="300" w:lineRule="auto"/>
        <w:ind w:firstLine="480" w:firstLineChars="200"/>
        <w:rPr>
          <w:rFonts w:hint="default" w:ascii="Times New Roman" w:hAnsi="Times New Roman" w:eastAsia="宋体" w:cs="Times New Roman"/>
          <w:b/>
          <w:bCs/>
          <w:color w:val="000000"/>
          <w:sz w:val="24"/>
          <w:szCs w:val="22"/>
        </w:rPr>
      </w:pPr>
      <w:r>
        <w:rPr>
          <w:rFonts w:hint="default" w:ascii="Times New Roman" w:hAnsi="Times New Roman" w:eastAsia="宋体" w:cs="Times New Roman"/>
          <w:kern w:val="0"/>
          <w:sz w:val="24"/>
          <w:szCs w:val="24"/>
        </w:rPr>
        <w:t>企业战略管理、国际企业经营</w:t>
      </w:r>
    </w:p>
    <w:p w14:paraId="2C9F5A99">
      <w:pPr>
        <w:widowControl w:val="0"/>
        <w:spacing w:before="78" w:beforeLines="25" w:after="78" w:afterLines="25" w:line="300" w:lineRule="auto"/>
        <w:ind w:firstLine="562" w:firstLineChars="200"/>
        <w:outlineLvl w:val="9"/>
        <w:rPr>
          <w:rFonts w:hint="default" w:ascii="Times New Roman" w:hAnsi="Times New Roman" w:eastAsia="宋体" w:cs="Times New Roman"/>
          <w:b/>
          <w:bCs/>
          <w:color w:val="000000"/>
          <w:sz w:val="28"/>
          <w:szCs w:val="24"/>
        </w:rPr>
      </w:pPr>
      <w:r>
        <w:rPr>
          <w:rFonts w:hint="default" w:ascii="Times New Roman" w:hAnsi="Times New Roman" w:eastAsia="宋体" w:cs="Times New Roman"/>
          <w:b/>
          <w:bCs/>
          <w:color w:val="000000"/>
          <w:sz w:val="28"/>
          <w:szCs w:val="24"/>
        </w:rPr>
        <w:t>2.启发思考题</w:t>
      </w:r>
    </w:p>
    <w:p w14:paraId="0B15CF1D">
      <w:pPr>
        <w:widowControl w:val="0"/>
        <w:numPr>
          <w:ilvl w:val="0"/>
          <w:numId w:val="11"/>
        </w:numPr>
        <w:spacing w:before="78" w:beforeLines="25" w:after="78" w:afterLines="25" w:line="300" w:lineRule="auto"/>
        <w:ind w:left="0" w:firstLine="480" w:firstLineChars="200"/>
        <w:rPr>
          <w:rFonts w:hint="default" w:ascii="Times New Roman" w:hAnsi="Times New Roman" w:eastAsia="宋体" w:cs="Times New Roman"/>
          <w:color w:val="000000"/>
          <w:sz w:val="24"/>
          <w:szCs w:val="22"/>
        </w:rPr>
      </w:pPr>
      <w:r>
        <w:rPr>
          <w:rFonts w:hint="default" w:ascii="Times New Roman" w:hAnsi="Times New Roman" w:eastAsia="宋体" w:cs="Times New Roman"/>
          <w:bCs/>
          <w:color w:val="000000"/>
          <w:sz w:val="24"/>
          <w:szCs w:val="22"/>
        </w:rPr>
        <w:t xml:space="preserve">嵌入式事业部通过与国外手机制造商合作，积累了哪些重要的资源能力？ </w:t>
      </w:r>
    </w:p>
    <w:p w14:paraId="07FDBA7D">
      <w:pPr>
        <w:widowControl w:val="0"/>
        <w:numPr>
          <w:ilvl w:val="0"/>
          <w:numId w:val="11"/>
        </w:numPr>
        <w:spacing w:before="78" w:beforeLines="25" w:after="78" w:afterLines="25" w:line="300" w:lineRule="auto"/>
        <w:ind w:left="0" w:firstLine="480" w:firstLineChars="200"/>
        <w:rPr>
          <w:rFonts w:hint="default" w:ascii="Times New Roman" w:hAnsi="Times New Roman" w:eastAsia="宋体" w:cs="Times New Roman"/>
          <w:bCs/>
          <w:color w:val="000000"/>
          <w:sz w:val="24"/>
          <w:szCs w:val="22"/>
        </w:rPr>
      </w:pPr>
      <w:r>
        <w:rPr>
          <w:rFonts w:hint="default" w:ascii="Times New Roman" w:hAnsi="Times New Roman" w:eastAsia="宋体" w:cs="Times New Roman"/>
          <w:bCs/>
          <w:color w:val="000000"/>
          <w:sz w:val="24"/>
          <w:szCs w:val="22"/>
        </w:rPr>
        <w:t>诺基亚外包业务策略的变化对嵌入式事业部带来什么影响？如何应对？</w:t>
      </w:r>
    </w:p>
    <w:p w14:paraId="3B3008B7">
      <w:pPr>
        <w:widowControl w:val="0"/>
        <w:numPr>
          <w:ilvl w:val="0"/>
          <w:numId w:val="11"/>
        </w:numPr>
        <w:spacing w:before="78" w:beforeLines="25" w:after="78" w:afterLines="25" w:line="300" w:lineRule="auto"/>
        <w:ind w:left="0" w:firstLine="480" w:firstLineChars="200"/>
        <w:rPr>
          <w:rFonts w:hint="default" w:ascii="Times New Roman" w:hAnsi="Times New Roman" w:eastAsia="宋体" w:cs="Times New Roman"/>
          <w:bCs/>
          <w:color w:val="000000"/>
          <w:sz w:val="24"/>
          <w:szCs w:val="22"/>
        </w:rPr>
      </w:pPr>
      <w:r>
        <w:rPr>
          <w:rFonts w:hint="default" w:ascii="Times New Roman" w:hAnsi="Times New Roman" w:eastAsia="宋体" w:cs="Times New Roman"/>
          <w:bCs/>
          <w:color w:val="000000"/>
          <w:sz w:val="24"/>
          <w:szCs w:val="22"/>
        </w:rPr>
        <w:t>嵌入式事业部为什么选择跨国并购？</w:t>
      </w:r>
    </w:p>
    <w:p w14:paraId="65B1490F">
      <w:pPr>
        <w:widowControl w:val="0"/>
        <w:numPr>
          <w:ilvl w:val="0"/>
          <w:numId w:val="11"/>
        </w:numPr>
        <w:spacing w:before="78" w:beforeLines="25" w:after="78" w:afterLines="25" w:line="300" w:lineRule="auto"/>
        <w:ind w:left="0" w:firstLine="480" w:firstLineChars="200"/>
        <w:rPr>
          <w:rFonts w:hint="default" w:ascii="Times New Roman" w:hAnsi="Times New Roman" w:eastAsia="宋体" w:cs="Times New Roman"/>
          <w:bCs/>
          <w:color w:val="000000"/>
          <w:sz w:val="24"/>
          <w:szCs w:val="22"/>
        </w:rPr>
      </w:pPr>
      <w:r>
        <w:rPr>
          <w:rFonts w:hint="default" w:ascii="Times New Roman" w:hAnsi="Times New Roman" w:eastAsia="宋体" w:cs="Times New Roman"/>
          <w:bCs/>
          <w:color w:val="000000"/>
          <w:sz w:val="24"/>
          <w:szCs w:val="22"/>
        </w:rPr>
        <w:t>……</w:t>
      </w:r>
    </w:p>
    <w:p w14:paraId="533FF553">
      <w:pPr>
        <w:widowControl w:val="0"/>
        <w:spacing w:before="78" w:beforeLines="25" w:after="78" w:afterLines="25" w:line="300" w:lineRule="auto"/>
        <w:ind w:firstLine="482" w:firstLineChars="200"/>
        <w:jc w:val="left"/>
        <w:rPr>
          <w:rFonts w:hint="default" w:ascii="Times New Roman" w:hAnsi="Times New Roman" w:eastAsia="宋体" w:cs="Times New Roman"/>
          <w:b/>
          <w:bCs/>
          <w:color w:val="000000"/>
          <w:sz w:val="24"/>
          <w:szCs w:val="22"/>
        </w:rPr>
      </w:pPr>
    </w:p>
    <w:p w14:paraId="589011C1">
      <w:pPr>
        <w:widowControl w:val="0"/>
        <w:spacing w:before="78" w:beforeLines="25" w:after="78" w:afterLines="25" w:line="300" w:lineRule="auto"/>
        <w:ind w:firstLine="562" w:firstLineChars="200"/>
        <w:contextualSpacing/>
        <w:jc w:val="left"/>
        <w:outlineLvl w:val="9"/>
        <w:rPr>
          <w:rFonts w:hint="default" w:ascii="Times New Roman" w:hAnsi="Times New Roman" w:eastAsia="宋体" w:cs="Times New Roman"/>
          <w:b/>
          <w:bCs/>
          <w:sz w:val="28"/>
          <w:szCs w:val="21"/>
        </w:rPr>
      </w:pPr>
      <w:r>
        <w:rPr>
          <w:rFonts w:hint="default" w:ascii="Times New Roman" w:hAnsi="Times New Roman" w:eastAsia="宋体" w:cs="Times New Roman"/>
          <w:b/>
          <w:bCs/>
          <w:sz w:val="28"/>
          <w:szCs w:val="21"/>
        </w:rPr>
        <w:t>参考文献/资料</w:t>
      </w:r>
    </w:p>
    <w:p w14:paraId="4D32D069">
      <w:pPr>
        <w:widowControl w:val="0"/>
        <w:spacing w:before="78" w:beforeLines="25" w:after="78" w:afterLines="25" w:line="300" w:lineRule="auto"/>
        <w:ind w:firstLine="480" w:firstLineChars="200"/>
        <w:contextualSpacing/>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default" w:ascii="Times New Roman" w:hAnsi="Times New Roman" w:eastAsia="宋体" w:cs="Times New Roman"/>
          <w:sz w:val="24"/>
          <w:szCs w:val="24"/>
        </w:rPr>
        <w:t>中文用小四号宋体字</w:t>
      </w:r>
    </w:p>
    <w:p w14:paraId="146F75B3">
      <w:pPr>
        <w:widowControl w:val="0"/>
        <w:spacing w:before="78" w:beforeLines="25" w:after="78" w:afterLines="25" w:line="300" w:lineRule="auto"/>
        <w:ind w:firstLine="480" w:firstLineChars="200"/>
        <w:contextualSpacing/>
        <w:jc w:val="left"/>
        <w:rPr>
          <w:rFonts w:hint="default" w:ascii="Times New Roman" w:hAnsi="Times New Roman" w:eastAsia="宋体" w:cs="Times New Roman"/>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宋体" w:cs="Times New Roman"/>
          <w:sz w:val="24"/>
          <w:szCs w:val="24"/>
        </w:rPr>
        <w:t>英文用小四号Times New Roman字体</w:t>
      </w:r>
    </w:p>
    <w:p w14:paraId="6C1EBF1A">
      <w:pPr>
        <w:widowControl w:val="0"/>
        <w:spacing w:before="78" w:beforeLines="25" w:after="78" w:afterLines="25" w:line="300" w:lineRule="auto"/>
        <w:ind w:firstLine="480" w:firstLineChars="200"/>
        <w:contextualSpacing/>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p w14:paraId="777EB032">
      <w:pPr>
        <w:widowControl w:val="0"/>
        <w:spacing w:before="78" w:beforeLines="25" w:after="78" w:afterLines="25" w:line="300" w:lineRule="auto"/>
        <w:ind w:firstLine="480" w:firstLineChars="200"/>
        <w:contextualSpacing/>
        <w:jc w:val="left"/>
        <w:rPr>
          <w:rFonts w:hint="default" w:ascii="Times New Roman" w:hAnsi="Times New Roman" w:eastAsia="方正小标宋简体" w:cs="Times New Roman"/>
          <w:sz w:val="36"/>
          <w:szCs w:val="36"/>
        </w:rPr>
      </w:pPr>
      <w:r>
        <w:rPr>
          <w:rFonts w:hint="default" w:ascii="Times New Roman" w:hAnsi="Times New Roman" w:eastAsia="仿宋_GB2312" w:cs="Times New Roman"/>
          <w:kern w:val="0"/>
          <w:sz w:val="24"/>
          <w:szCs w:val="24"/>
        </w:rPr>
        <w:t>[4]</w:t>
      </w:r>
    </w:p>
    <w:sectPr>
      <w:headerReference r:id="rId17" w:type="default"/>
      <w:footerReference r:id="rId1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A25D13-157A-4849-9AC4-F15844D2E3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20BD66-0489-44D7-B193-676077FF3285}"/>
  </w:font>
  <w:font w:name="仿宋_GB2312">
    <w:panose1 w:val="02010609030101010101"/>
    <w:charset w:val="86"/>
    <w:family w:val="modern"/>
    <w:pitch w:val="default"/>
    <w:sig w:usb0="00000001" w:usb1="080E0000" w:usb2="00000000" w:usb3="00000000" w:csb0="00040000" w:csb1="00000000"/>
    <w:embedRegular r:id="rId3" w:fontKey="{B721BE0D-C91A-4F39-BCBA-14A743D3F98A}"/>
  </w:font>
  <w:font w:name="方正小标宋简体">
    <w:panose1 w:val="02000000000000000000"/>
    <w:charset w:val="86"/>
    <w:family w:val="auto"/>
    <w:pitch w:val="default"/>
    <w:sig w:usb0="00000001" w:usb1="08000000" w:usb2="00000000" w:usb3="00000000" w:csb0="00040000" w:csb1="00000000"/>
    <w:embedRegular r:id="rId4" w:fontKey="{26255336-D0FA-4FF4-A086-3676CA8FF514}"/>
  </w:font>
  <w:font w:name="楷体">
    <w:panose1 w:val="02010609060101010101"/>
    <w:charset w:val="86"/>
    <w:family w:val="modern"/>
    <w:pitch w:val="default"/>
    <w:sig w:usb0="800002BF" w:usb1="38CF7CFA" w:usb2="00000016" w:usb3="00000000" w:csb0="00040001" w:csb1="00000000"/>
    <w:embedRegular r:id="rId5" w:fontKey="{1852BCE1-59A3-4815-8B73-47FF705FD3B9}"/>
  </w:font>
  <w:font w:name="方正仿宋简体">
    <w:panose1 w:val="02000000000000000000"/>
    <w:charset w:val="86"/>
    <w:family w:val="auto"/>
    <w:pitch w:val="default"/>
    <w:sig w:usb0="A00002BF" w:usb1="184F6CFA" w:usb2="00000012" w:usb3="00000000" w:csb0="00040001" w:csb1="00000000"/>
    <w:embedRegular r:id="rId6" w:fontKey="{9D2AE5C4-5553-4077-8E4C-629E0E41EED0}"/>
  </w:font>
  <w:font w:name="幼圆">
    <w:panose1 w:val="02010509060101010101"/>
    <w:charset w:val="86"/>
    <w:family w:val="modern"/>
    <w:pitch w:val="default"/>
    <w:sig w:usb0="00000001" w:usb1="080E0000" w:usb2="00000000" w:usb3="00000000" w:csb0="00040000" w:csb1="00000000"/>
    <w:embedRegular r:id="rId7" w:fontKey="{E47BFBE4-4314-458B-A347-0D6E97D0B816}"/>
  </w:font>
  <w:font w:name="Arial Unicode MS">
    <w:altName w:val="Malgun Gothic Semilight"/>
    <w:panose1 w:val="020B0604020202020204"/>
    <w:charset w:val="86"/>
    <w:family w:val="swiss"/>
    <w:pitch w:val="default"/>
    <w:sig w:usb0="00000000" w:usb1="00000000" w:usb2="0000003F" w:usb3="00000000" w:csb0="003F01FF" w:csb1="00000000"/>
    <w:embedRegular r:id="rId8" w:fontKey="{BA368A3F-F265-4246-99A0-542BD69EF7AA}"/>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2CE0">
    <w:pPr>
      <w:pStyle w:val="4"/>
      <w:ind w:firstLine="0" w:firstLineChars="0"/>
      <w:jc w:val="center"/>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rPr>
      <w:fldChar w:fldCharType="begin"/>
    </w:r>
    <w:r>
      <w:rPr>
        <w:rFonts w:hint="default" w:ascii="Times New Roman" w:hAnsi="Times New Roman" w:cs="Times New Roman"/>
        <w:sz w:val="24"/>
      </w:rPr>
      <w:instrText xml:space="preserve">PAGE   \* MERGEFORMAT</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3</w:t>
    </w:r>
    <w:r>
      <w:rPr>
        <w:rFonts w:hint="default" w:ascii="Times New Roman" w:hAnsi="Times New Roman" w:cs="Times New Roman"/>
        <w:sz w:val="24"/>
      </w:rPr>
      <w:fldChar w:fldCharType="end"/>
    </w:r>
    <w:r>
      <w:rPr>
        <w:rFonts w:hint="default" w:ascii="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0124">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73B6">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408A">
    <w:pPr>
      <w:widowControl w:val="0"/>
      <w:snapToGrid w:val="0"/>
      <w:spacing w:before="60" w:after="60" w:line="240" w:lineRule="atLeast"/>
      <w:ind w:firstLine="360" w:firstLineChars="200"/>
      <w:jc w:val="left"/>
      <w:rPr>
        <w:rFonts w:ascii="Times New Roman" w:hAnsi="Times New Roman" w:eastAsia="方正仿宋简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03B3">
    <w:pPr>
      <w:widowControl w:val="0"/>
      <w:snapToGrid w:val="0"/>
      <w:spacing w:before="60" w:after="60" w:line="240" w:lineRule="atLeast"/>
      <w:ind w:firstLine="360" w:firstLineChars="200"/>
      <w:jc w:val="left"/>
      <w:rPr>
        <w:rFonts w:ascii="Times New Roman" w:hAnsi="Times New Roman" w:eastAsia="方正仿宋简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6101">
    <w:pPr>
      <w:widowControl w:val="0"/>
      <w:snapToGrid w:val="0"/>
      <w:spacing w:before="60" w:after="60" w:line="240" w:lineRule="atLeast"/>
      <w:ind w:firstLine="360" w:firstLineChars="200"/>
      <w:jc w:val="left"/>
      <w:rPr>
        <w:rFonts w:ascii="Times New Roman" w:hAnsi="Times New Roman" w:eastAsia="方正仿宋简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6389">
    <w:pPr>
      <w:widowControl w:val="0"/>
      <w:snapToGrid w:val="0"/>
      <w:spacing w:before="60" w:after="60" w:line="240" w:lineRule="atLeast"/>
      <w:ind w:firstLine="360" w:firstLineChars="20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0FFF2B">
                          <w:pPr>
                            <w:widowControl w:val="0"/>
                            <w:snapToGrid w:val="0"/>
                            <w:spacing w:before="60" w:after="60" w:line="240" w:lineRule="atLeast"/>
                            <w:ind w:firstLine="360" w:firstLineChars="20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w:fldChar w:fldCharType="begin"/>
                          </w:r>
                          <w:r>
                            <w:rPr>
                              <w:rFonts w:ascii="Times New Roman" w:hAnsi="Times New Roman" w:eastAsia="方正仿宋简体" w:cs="Times New Roman"/>
                              <w:kern w:val="2"/>
                              <w:sz w:val="18"/>
                              <w:szCs w:val="18"/>
                              <w:lang w:val="en-US" w:eastAsia="zh-CN" w:bidi="ar-SA"/>
                            </w:rPr>
                            <w:instrText xml:space="preserve"> PAGE  \* MERGEFORMAT </w:instrText>
                          </w:r>
                          <w:r>
                            <w:rPr>
                              <w:rFonts w:ascii="Times New Roman" w:hAnsi="Times New Roman" w:eastAsia="方正仿宋简体" w:cs="Times New Roman"/>
                              <w:kern w:val="2"/>
                              <w:sz w:val="18"/>
                              <w:szCs w:val="18"/>
                              <w:lang w:val="en-US" w:eastAsia="zh-CN" w:bidi="ar-SA"/>
                            </w:rPr>
                            <w:fldChar w:fldCharType="separate"/>
                          </w:r>
                          <w:r>
                            <w:rPr>
                              <w:rFonts w:ascii="Times New Roman" w:hAnsi="Times New Roman" w:eastAsia="方正仿宋简体" w:cs="Times New Roman"/>
                              <w:kern w:val="2"/>
                              <w:sz w:val="18"/>
                              <w:szCs w:val="18"/>
                              <w:lang w:val="en-US" w:eastAsia="zh-CN" w:bidi="ar-SA"/>
                            </w:rPr>
                            <w:t>13</w:t>
                          </w:r>
                          <w:r>
                            <w:rPr>
                              <w:rFonts w:ascii="Times New Roman" w:hAnsi="Times New Roman" w:eastAsia="方正仿宋简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14:paraId="400FFF2B">
                    <w:pPr>
                      <w:widowControl w:val="0"/>
                      <w:snapToGrid w:val="0"/>
                      <w:spacing w:before="60" w:after="60" w:line="240" w:lineRule="atLeast"/>
                      <w:ind w:firstLine="360" w:firstLineChars="20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w:fldChar w:fldCharType="begin"/>
                    </w:r>
                    <w:r>
                      <w:rPr>
                        <w:rFonts w:ascii="Times New Roman" w:hAnsi="Times New Roman" w:eastAsia="方正仿宋简体" w:cs="Times New Roman"/>
                        <w:kern w:val="2"/>
                        <w:sz w:val="18"/>
                        <w:szCs w:val="18"/>
                        <w:lang w:val="en-US" w:eastAsia="zh-CN" w:bidi="ar-SA"/>
                      </w:rPr>
                      <w:instrText xml:space="preserve"> PAGE  \* MERGEFORMAT </w:instrText>
                    </w:r>
                    <w:r>
                      <w:rPr>
                        <w:rFonts w:ascii="Times New Roman" w:hAnsi="Times New Roman" w:eastAsia="方正仿宋简体" w:cs="Times New Roman"/>
                        <w:kern w:val="2"/>
                        <w:sz w:val="18"/>
                        <w:szCs w:val="18"/>
                        <w:lang w:val="en-US" w:eastAsia="zh-CN" w:bidi="ar-SA"/>
                      </w:rPr>
                      <w:fldChar w:fldCharType="separate"/>
                    </w:r>
                    <w:r>
                      <w:rPr>
                        <w:rFonts w:ascii="Times New Roman" w:hAnsi="Times New Roman" w:eastAsia="方正仿宋简体" w:cs="Times New Roman"/>
                        <w:kern w:val="2"/>
                        <w:sz w:val="18"/>
                        <w:szCs w:val="18"/>
                        <w:lang w:val="en-US" w:eastAsia="zh-CN" w:bidi="ar-SA"/>
                      </w:rPr>
                      <w:t>13</w:t>
                    </w:r>
                    <w:r>
                      <w:rPr>
                        <w:rFonts w:ascii="Times New Roman" w:hAnsi="Times New Roman" w:eastAsia="方正仿宋简体" w:cs="Times New Roman"/>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7C7C">
    <w:pPr>
      <w:widowControl w:val="0"/>
      <w:snapToGrid w:val="0"/>
      <w:spacing w:before="60" w:after="60" w:line="240" w:lineRule="atLeast"/>
      <w:ind w:firstLine="420" w:firstLineChars="200"/>
      <w:jc w:val="lef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06C7B0">
                          <w:pPr>
                            <w:pStyle w:val="4"/>
                            <w:spacing w:before="60" w:after="60"/>
                            <w:ind w:firstLine="3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ZjYcQ5gEAAMcD&#10;AAAOAAAAAAAAAAEAIAAAAB8BAABkcnMvZTJvRG9jLnhtbFBLBQYAAAAABgAGAFkBAAB3BQAAAAA=&#10;">
              <v:fill on="f" focussize="0,0"/>
              <v:stroke on="f" weight="0.5pt"/>
              <v:imagedata o:title=""/>
              <o:lock v:ext="edit" aspectratio="f"/>
              <v:textbox inset="0mm,0mm,0mm,0mm" style="mso-fit-shape-to-text:t;">
                <w:txbxContent>
                  <w:p w14:paraId="5406C7B0">
                    <w:pPr>
                      <w:pStyle w:val="4"/>
                      <w:spacing w:before="60" w:after="60"/>
                      <w:ind w:firstLine="3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5F0EC78">
      <w:pPr>
        <w:widowControl w:val="0"/>
        <w:snapToGrid w:val="0"/>
        <w:spacing w:before="78" w:after="78" w:line="240" w:lineRule="auto"/>
        <w:ind w:firstLine="0" w:firstLineChars="0"/>
        <w:jc w:val="left"/>
        <w:rPr>
          <w:rFonts w:ascii="Times New Roman" w:hAnsi="Times New Roman" w:eastAsia="楷体" w:cs="Times New Roman"/>
          <w:kern w:val="2"/>
          <w:sz w:val="18"/>
          <w:szCs w:val="24"/>
          <w:lang w:val="en-US" w:eastAsia="zh-CN" w:bidi="ar-SA"/>
        </w:rPr>
      </w:pPr>
      <w:r>
        <w:rPr>
          <w:rFonts w:ascii="Times New Roman" w:hAnsi="Times New Roman" w:eastAsia="楷体" w:cs="Times New Roman"/>
          <w:kern w:val="2"/>
          <w:sz w:val="18"/>
          <w:szCs w:val="24"/>
          <w:vertAlign w:val="superscript"/>
          <w:lang w:val="en-US" w:eastAsia="zh-CN" w:bidi="ar-SA"/>
        </w:rPr>
        <w:footnoteRef/>
      </w:r>
      <w:r>
        <w:rPr>
          <w:rFonts w:ascii="Times New Roman" w:hAnsi="Times New Roman" w:eastAsia="楷体" w:cs="Times New Roman"/>
          <w:kern w:val="2"/>
          <w:sz w:val="18"/>
          <w:szCs w:val="24"/>
          <w:lang w:val="en-US" w:eastAsia="zh-CN" w:bidi="ar-SA"/>
        </w:rPr>
        <w:t xml:space="preserve"> </w:t>
      </w:r>
      <w:r>
        <w:rPr>
          <w:rFonts w:ascii="Times New Roman" w:hAnsi="Times New Roman" w:eastAsia="楷体" w:cs="Times New Roman"/>
          <w:kern w:val="0"/>
          <w:sz w:val="18"/>
          <w:szCs w:val="24"/>
          <w:lang w:val="en-US" w:eastAsia="zh-CN" w:bidi="ar-SA"/>
        </w:rPr>
        <w:t>Brew是一种CDMA制式的手机系统平台，是日本手机厂商的主流平台。</w:t>
      </w:r>
    </w:p>
  </w:footnote>
  <w:footnote w:id="1">
    <w:p w14:paraId="4DF0D6A5">
      <w:pPr>
        <w:widowControl w:val="0"/>
        <w:snapToGrid w:val="0"/>
        <w:spacing w:before="78" w:after="78" w:line="240" w:lineRule="auto"/>
        <w:ind w:firstLine="0" w:firstLineChars="0"/>
        <w:jc w:val="left"/>
        <w:rPr>
          <w:rFonts w:ascii="Times New Roman" w:hAnsi="Times New Roman" w:eastAsia="宋体" w:cs="Times New Roman"/>
          <w:kern w:val="2"/>
          <w:sz w:val="18"/>
          <w:szCs w:val="24"/>
          <w:lang w:val="en-US" w:eastAsia="zh-CN" w:bidi="ar-SA"/>
        </w:rPr>
      </w:pPr>
      <w:r>
        <w:rPr>
          <w:rFonts w:ascii="Times New Roman" w:hAnsi="Times New Roman" w:eastAsia="楷体" w:cs="Times New Roman"/>
          <w:kern w:val="2"/>
          <w:sz w:val="18"/>
          <w:szCs w:val="24"/>
          <w:vertAlign w:val="superscript"/>
          <w:lang w:val="en-US" w:eastAsia="zh-CN" w:bidi="ar-SA"/>
        </w:rPr>
        <w:footnoteRef/>
      </w:r>
      <w:r>
        <w:rPr>
          <w:rFonts w:ascii="Times New Roman" w:hAnsi="Times New Roman" w:eastAsia="楷体" w:cs="Times New Roman"/>
          <w:kern w:val="2"/>
          <w:sz w:val="18"/>
          <w:szCs w:val="24"/>
          <w:lang w:val="en-US" w:eastAsia="zh-CN" w:bidi="ar-SA"/>
        </w:rPr>
        <w:t xml:space="preserve"> 东软日本株式会社成立于2001年9月，是</w:t>
      </w:r>
      <w:r>
        <w:rPr>
          <w:rFonts w:ascii="Times New Roman" w:hAnsi="Times New Roman" w:eastAsia="楷体" w:cs="Times New Roman"/>
          <w:kern w:val="0"/>
          <w:sz w:val="18"/>
          <w:szCs w:val="24"/>
          <w:lang w:val="en-US" w:eastAsia="zh-CN" w:bidi="ar-SA"/>
        </w:rPr>
        <w:t>东软在日本东京</w:t>
      </w:r>
      <w:r>
        <w:rPr>
          <w:rFonts w:ascii="Times New Roman" w:hAnsi="Times New Roman" w:eastAsia="楷体" w:cs="Times New Roman"/>
          <w:kern w:val="2"/>
          <w:sz w:val="18"/>
          <w:szCs w:val="24"/>
          <w:lang w:val="en-US" w:eastAsia="zh-CN" w:bidi="ar-SA"/>
        </w:rPr>
        <w:t>与ALPINE、NECSOFT等多家公司合资的股份制公司。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D0D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E77A8">
    <w:pPr>
      <w:pStyle w:val="5"/>
      <w:ind w:firstLine="360"/>
    </w:pPr>
    <w:r>
      <w:pict>
        <v:shape id="PowerPlusWaterMarkObject643266204" o:spid="_x0000_s2059" o:spt="136" type="#_x0000_t136" style="position:absolute;left:0pt;height:39pt;width:546.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内部资料，请勿上网，注意保密" style="font-family:黑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69845">
    <w:pPr>
      <w:pStyle w:val="5"/>
      <w:ind w:firstLine="360"/>
    </w:pPr>
    <w:r>
      <w:pict>
        <v:shape id="PowerPlusWaterMarkObject643266203" o:spid="_x0000_s2057" o:spt="136" type="#_x0000_t136" style="position:absolute;left:0pt;height:39pt;width:546.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内部资料，请勿上网，注意保密" style="font-family:黑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F2B3">
    <w:pPr>
      <w:widowControl w:val="0"/>
      <w:pBdr>
        <w:bottom w:val="none" w:color="auto" w:sz="0" w:space="0"/>
      </w:pBdr>
      <w:snapToGrid w:val="0"/>
      <w:spacing w:before="60" w:after="60" w:line="240" w:lineRule="atLeast"/>
      <w:ind w:firstLine="360" w:firstLineChars="200"/>
      <w:jc w:val="center"/>
      <w:rPr>
        <w:rFonts w:ascii="Times New Roman" w:hAnsi="Times New Roman" w:eastAsia="方正仿宋简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CE7B">
    <w:pPr>
      <w:widowControl w:val="0"/>
      <w:pBdr>
        <w:bottom w:val="single" w:color="auto" w:sz="6" w:space="1"/>
      </w:pBdr>
      <w:snapToGrid w:val="0"/>
      <w:spacing w:before="60" w:after="60" w:line="240" w:lineRule="atLeast"/>
      <w:ind w:firstLine="360" w:firstLineChars="200"/>
      <w:jc w:val="center"/>
      <w:rPr>
        <w:rFonts w:ascii="Times New Roman" w:hAnsi="Times New Roman" w:eastAsia="方正仿宋简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5C27">
    <w:pPr>
      <w:widowControl w:val="0"/>
      <w:pBdr>
        <w:bottom w:val="single" w:color="auto" w:sz="6" w:space="1"/>
      </w:pBdr>
      <w:snapToGrid w:val="0"/>
      <w:spacing w:before="60" w:after="60" w:line="240" w:lineRule="atLeast"/>
      <w:ind w:firstLine="360" w:firstLineChars="200"/>
      <w:jc w:val="center"/>
      <w:rPr>
        <w:rFonts w:ascii="Times New Roman" w:hAnsi="Times New Roman" w:eastAsia="方正仿宋简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9174">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0F935"/>
    <w:multiLevelType w:val="singleLevel"/>
    <w:tmpl w:val="9730F935"/>
    <w:lvl w:ilvl="0" w:tentative="0">
      <w:start w:val="1"/>
      <w:numFmt w:val="decimal"/>
      <w:suff w:val="space"/>
      <w:lvlText w:val="%1."/>
      <w:lvlJc w:val="left"/>
    </w:lvl>
  </w:abstractNum>
  <w:abstractNum w:abstractNumId="1">
    <w:nsid w:val="CAB08170"/>
    <w:multiLevelType w:val="singleLevel"/>
    <w:tmpl w:val="CAB08170"/>
    <w:lvl w:ilvl="0" w:tentative="0">
      <w:start w:val="1"/>
      <w:numFmt w:val="decimal"/>
      <w:lvlText w:val="(%1)"/>
      <w:lvlJc w:val="left"/>
      <w:pPr>
        <w:ind w:left="425" w:hanging="425"/>
      </w:pPr>
      <w:rPr>
        <w:rFonts w:hint="default"/>
      </w:rPr>
    </w:lvl>
  </w:abstractNum>
  <w:abstractNum w:abstractNumId="2">
    <w:nsid w:val="D8A4E022"/>
    <w:multiLevelType w:val="multilevel"/>
    <w:tmpl w:val="D8A4E02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5FF3ADE"/>
    <w:multiLevelType w:val="multilevel"/>
    <w:tmpl w:val="05FF3ADE"/>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BBEF4F"/>
    <w:multiLevelType w:val="multilevel"/>
    <w:tmpl w:val="1FBBEF4F"/>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9345CFB"/>
    <w:multiLevelType w:val="multilevel"/>
    <w:tmpl w:val="29345CFB"/>
    <w:lvl w:ilvl="0" w:tentative="0">
      <w:start w:val="1"/>
      <w:numFmt w:val="chineseCountingThousand"/>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10EE1D9"/>
    <w:multiLevelType w:val="singleLevel"/>
    <w:tmpl w:val="310EE1D9"/>
    <w:lvl w:ilvl="0" w:tentative="0">
      <w:start w:val="1"/>
      <w:numFmt w:val="chineseCounting"/>
      <w:suff w:val="nothing"/>
      <w:lvlText w:val="第%1，"/>
      <w:lvlJc w:val="left"/>
      <w:rPr>
        <w:rFonts w:hint="eastAsia"/>
      </w:rPr>
    </w:lvl>
  </w:abstractNum>
  <w:abstractNum w:abstractNumId="7">
    <w:nsid w:val="524901C4"/>
    <w:multiLevelType w:val="multilevel"/>
    <w:tmpl w:val="524901C4"/>
    <w:lvl w:ilvl="0" w:tentative="0">
      <w:start w:val="1"/>
      <w:numFmt w:val="decimal"/>
      <w:suff w:val="space"/>
      <w:lvlText w:val="%1."/>
      <w:lvlJc w:val="left"/>
      <w:pPr>
        <w:ind w:left="0" w:firstLine="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613010"/>
    <w:multiLevelType w:val="multilevel"/>
    <w:tmpl w:val="5C613010"/>
    <w:lvl w:ilvl="0" w:tentative="0">
      <w:start w:val="1"/>
      <w:numFmt w:val="decimal"/>
      <w:suff w:val="space"/>
      <w:lvlText w:val="%1."/>
      <w:lvlJc w:val="left"/>
      <w:pPr>
        <w:ind w:left="0" w:firstLine="0"/>
      </w:pPr>
      <w:rPr>
        <w:rFonts w:hint="default" w:ascii="Times New Roman" w:hAnsi="Times New Roman" w:cs="Times New Roman"/>
        <w:b/>
        <w:bCs/>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A3EA1EA"/>
    <w:multiLevelType w:val="singleLevel"/>
    <w:tmpl w:val="6A3EA1EA"/>
    <w:lvl w:ilvl="0" w:tentative="0">
      <w:start w:val="1"/>
      <w:numFmt w:val="decimal"/>
      <w:suff w:val="space"/>
      <w:lvlText w:val="%1."/>
      <w:lvlJc w:val="left"/>
    </w:lvl>
  </w:abstractNum>
  <w:abstractNum w:abstractNumId="10">
    <w:nsid w:val="6DCF703D"/>
    <w:multiLevelType w:val="multilevel"/>
    <w:tmpl w:val="6DCF703D"/>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3"/>
  </w:num>
  <w:num w:numId="3">
    <w:abstractNumId w:val="7"/>
  </w:num>
  <w:num w:numId="4">
    <w:abstractNumId w:val="8"/>
  </w:num>
  <w:num w:numId="5">
    <w:abstractNumId w:val="10"/>
  </w:num>
  <w:num w:numId="6">
    <w:abstractNumId w:val="9"/>
  </w:num>
  <w:num w:numId="7">
    <w:abstractNumId w:val="4"/>
  </w:num>
  <w:num w:numId="8">
    <w:abstractNumId w:val="0"/>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NzhiMTQ2YTMyYWIwM2E0Njk5MmQ4OWEyNDdkZTIifQ=="/>
  </w:docVars>
  <w:rsids>
    <w:rsidRoot w:val="00EC3E8B"/>
    <w:rsid w:val="00111503"/>
    <w:rsid w:val="002D7CFF"/>
    <w:rsid w:val="00364ADA"/>
    <w:rsid w:val="0088339B"/>
    <w:rsid w:val="00920750"/>
    <w:rsid w:val="00B9130F"/>
    <w:rsid w:val="00C27717"/>
    <w:rsid w:val="00CC7D80"/>
    <w:rsid w:val="00EC3E8B"/>
    <w:rsid w:val="00F678B4"/>
    <w:rsid w:val="00FF0C33"/>
    <w:rsid w:val="012E1D53"/>
    <w:rsid w:val="01AD31E9"/>
    <w:rsid w:val="02677A91"/>
    <w:rsid w:val="0298641C"/>
    <w:rsid w:val="02B33ADB"/>
    <w:rsid w:val="04564B24"/>
    <w:rsid w:val="04CD79DC"/>
    <w:rsid w:val="0638767C"/>
    <w:rsid w:val="06405665"/>
    <w:rsid w:val="083640B7"/>
    <w:rsid w:val="084163BB"/>
    <w:rsid w:val="0A256191"/>
    <w:rsid w:val="0A766000"/>
    <w:rsid w:val="0AFA5870"/>
    <w:rsid w:val="0B2121A1"/>
    <w:rsid w:val="0BE77E99"/>
    <w:rsid w:val="0DFC6ECD"/>
    <w:rsid w:val="102C4102"/>
    <w:rsid w:val="113D0A67"/>
    <w:rsid w:val="12211934"/>
    <w:rsid w:val="123C2565"/>
    <w:rsid w:val="131B21EC"/>
    <w:rsid w:val="13984C8F"/>
    <w:rsid w:val="13AB626E"/>
    <w:rsid w:val="143D67CD"/>
    <w:rsid w:val="15542020"/>
    <w:rsid w:val="1618304E"/>
    <w:rsid w:val="161B48EC"/>
    <w:rsid w:val="16E76090"/>
    <w:rsid w:val="173C2D6C"/>
    <w:rsid w:val="17A8115E"/>
    <w:rsid w:val="1CFE6A35"/>
    <w:rsid w:val="1D1305EC"/>
    <w:rsid w:val="1DF7377C"/>
    <w:rsid w:val="200A1BDC"/>
    <w:rsid w:val="210D587C"/>
    <w:rsid w:val="216D6944"/>
    <w:rsid w:val="2237485C"/>
    <w:rsid w:val="231352C9"/>
    <w:rsid w:val="240950F3"/>
    <w:rsid w:val="24AC1531"/>
    <w:rsid w:val="24CF537C"/>
    <w:rsid w:val="24F535D9"/>
    <w:rsid w:val="26B54B21"/>
    <w:rsid w:val="26B9787D"/>
    <w:rsid w:val="277C0B96"/>
    <w:rsid w:val="28F86998"/>
    <w:rsid w:val="2B7E174D"/>
    <w:rsid w:val="2CB0732E"/>
    <w:rsid w:val="2F3C3639"/>
    <w:rsid w:val="30943A4F"/>
    <w:rsid w:val="309C4176"/>
    <w:rsid w:val="30B24DC5"/>
    <w:rsid w:val="318B136C"/>
    <w:rsid w:val="33633703"/>
    <w:rsid w:val="33723946"/>
    <w:rsid w:val="342F0067"/>
    <w:rsid w:val="34B866F6"/>
    <w:rsid w:val="35BF714B"/>
    <w:rsid w:val="374675C3"/>
    <w:rsid w:val="379800B2"/>
    <w:rsid w:val="37B81B43"/>
    <w:rsid w:val="38702279"/>
    <w:rsid w:val="39972358"/>
    <w:rsid w:val="3A872B9C"/>
    <w:rsid w:val="3B1F0C35"/>
    <w:rsid w:val="3BB53761"/>
    <w:rsid w:val="3E2E2B5F"/>
    <w:rsid w:val="3E2F2443"/>
    <w:rsid w:val="3F2A1136"/>
    <w:rsid w:val="407A714E"/>
    <w:rsid w:val="41F508CF"/>
    <w:rsid w:val="42B475B5"/>
    <w:rsid w:val="438D30D2"/>
    <w:rsid w:val="43DA0BC1"/>
    <w:rsid w:val="447F456A"/>
    <w:rsid w:val="450A17D4"/>
    <w:rsid w:val="451F2DF3"/>
    <w:rsid w:val="453677FF"/>
    <w:rsid w:val="45973353"/>
    <w:rsid w:val="45C50A74"/>
    <w:rsid w:val="462E6831"/>
    <w:rsid w:val="46E72A8E"/>
    <w:rsid w:val="471F3E06"/>
    <w:rsid w:val="47E334DF"/>
    <w:rsid w:val="4A0932E6"/>
    <w:rsid w:val="4A5B2F2E"/>
    <w:rsid w:val="4B2E23F0"/>
    <w:rsid w:val="4B524CD8"/>
    <w:rsid w:val="4CE37DDC"/>
    <w:rsid w:val="4D2F0C0B"/>
    <w:rsid w:val="4DA1334D"/>
    <w:rsid w:val="4F1C50C1"/>
    <w:rsid w:val="50587B80"/>
    <w:rsid w:val="50AF3E9A"/>
    <w:rsid w:val="50E91F61"/>
    <w:rsid w:val="511D191E"/>
    <w:rsid w:val="51F31C9E"/>
    <w:rsid w:val="5261509F"/>
    <w:rsid w:val="53AD7BDA"/>
    <w:rsid w:val="53BE2460"/>
    <w:rsid w:val="5406112D"/>
    <w:rsid w:val="54EA4E2E"/>
    <w:rsid w:val="5688215B"/>
    <w:rsid w:val="57481197"/>
    <w:rsid w:val="58AA12F1"/>
    <w:rsid w:val="5A39015A"/>
    <w:rsid w:val="5A40545C"/>
    <w:rsid w:val="5AAC50E0"/>
    <w:rsid w:val="5CC130C4"/>
    <w:rsid w:val="5E0C7886"/>
    <w:rsid w:val="5E611E91"/>
    <w:rsid w:val="5F2660BA"/>
    <w:rsid w:val="5F7316DF"/>
    <w:rsid w:val="5FAB0540"/>
    <w:rsid w:val="605205EB"/>
    <w:rsid w:val="60771CEC"/>
    <w:rsid w:val="607D7B39"/>
    <w:rsid w:val="60CE1813"/>
    <w:rsid w:val="627C1B79"/>
    <w:rsid w:val="62AE1B3E"/>
    <w:rsid w:val="631D6E2D"/>
    <w:rsid w:val="63F4440B"/>
    <w:rsid w:val="664E34EF"/>
    <w:rsid w:val="66D00135"/>
    <w:rsid w:val="66F156CF"/>
    <w:rsid w:val="6DC42A14"/>
    <w:rsid w:val="70291777"/>
    <w:rsid w:val="70503FF3"/>
    <w:rsid w:val="70C9377E"/>
    <w:rsid w:val="72104E4D"/>
    <w:rsid w:val="72A66242"/>
    <w:rsid w:val="73403856"/>
    <w:rsid w:val="73782999"/>
    <w:rsid w:val="75461650"/>
    <w:rsid w:val="75E6506A"/>
    <w:rsid w:val="75EA4FE2"/>
    <w:rsid w:val="766E228D"/>
    <w:rsid w:val="76C64558"/>
    <w:rsid w:val="77553269"/>
    <w:rsid w:val="777C610E"/>
    <w:rsid w:val="77EF15DB"/>
    <w:rsid w:val="78CC6736"/>
    <w:rsid w:val="797C3DE5"/>
    <w:rsid w:val="7A2472C2"/>
    <w:rsid w:val="7B145A11"/>
    <w:rsid w:val="7D7A26B8"/>
    <w:rsid w:val="7D973074"/>
    <w:rsid w:val="7E685F91"/>
    <w:rsid w:val="7F4339B5"/>
    <w:rsid w:val="7FD233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footnote reference"/>
    <w:qFormat/>
    <w:uiPriority w:val="0"/>
    <w:rPr>
      <w:vertAlign w:val="superscript"/>
    </w:rPr>
  </w:style>
  <w:style w:type="character" w:customStyle="1" w:styleId="10">
    <w:name w:val="批注框文本 字符"/>
    <w:link w:val="3"/>
    <w:qFormat/>
    <w:uiPriority w:val="0"/>
    <w:rPr>
      <w:kern w:val="2"/>
      <w:sz w:val="18"/>
      <w:szCs w:val="18"/>
    </w:rPr>
  </w:style>
  <w:style w:type="paragraph" w:styleId="11">
    <w:name w:val="List Paragraph"/>
    <w:basedOn w:val="1"/>
    <w:qFormat/>
    <w:uiPriority w:val="34"/>
    <w:pPr>
      <w:ind w:firstLine="420"/>
    </w:pPr>
  </w:style>
  <w:style w:type="paragraph" w:customStyle="1" w:styleId="12">
    <w:name w:val="列出段落1"/>
    <w:basedOn w:val="1"/>
    <w:qFormat/>
    <w:uiPriority w:val="0"/>
    <w:pPr>
      <w:widowControl w:val="0"/>
      <w:spacing w:line="240" w:lineRule="auto"/>
      <w:ind w:firstLine="420"/>
    </w:pPr>
    <w:rPr>
      <w:rFonts w:ascii="Calibri" w:hAnsi="Calibri" w:eastAsia="宋体"/>
      <w:sz w:val="21"/>
    </w:rPr>
  </w:style>
  <w:style w:type="paragraph" w:customStyle="1" w:styleId="13">
    <w:name w:val="msolistparagraph"/>
    <w:basedOn w:val="1"/>
    <w:qFormat/>
    <w:uiPriority w:val="0"/>
    <w:pPr>
      <w:snapToGrid w:val="0"/>
      <w:spacing w:line="360" w:lineRule="auto"/>
      <w:ind w:firstLine="420" w:firstLineChars="200"/>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customShpInfo spid="_x0000_s205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681</Words>
  <Characters>700</Characters>
  <Lines>68</Lines>
  <Paragraphs>19</Paragraphs>
  <TotalTime>4</TotalTime>
  <ScaleCrop>false</ScaleCrop>
  <LinksUpToDate>false</LinksUpToDate>
  <CharactersWithSpaces>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zjr</dc:creator>
  <cp:lastModifiedBy>卢</cp:lastModifiedBy>
  <cp:lastPrinted>2024-11-29T06:19:00Z</cp:lastPrinted>
  <dcterms:modified xsi:type="dcterms:W3CDTF">2026-04-13T07:19:41Z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65388B9F7AE14F629468B85885B9C0BA_13</vt:lpwstr>
  </property>
  <property fmtid="{D5CDD505-2E9C-101B-9397-08002B2CF9AE}" pid="4" name="KSOTemplateDocerSaveRecord">
    <vt:lpwstr>eyJoZGlkIjoiYzRhNDZkZTk3ZGY0OTRkOTU4MTdjOTFlZTA3Y2VhYTgiLCJ1c2VySWQiOiI1MTMxNTQ1OTMifQ==</vt:lpwstr>
  </property>
</Properties>
</file>