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7199">
      <w:pPr>
        <w:jc w:val="both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：《职业技能实践》研究生实践课程</w:t>
      </w:r>
      <w:r>
        <w:rPr>
          <w:rFonts w:ascii="Times New Roman" w:hAnsi="Times New Roman" w:eastAsia="宋体" w:cs="Times New Roman"/>
          <w:b/>
          <w:sz w:val="28"/>
          <w:szCs w:val="28"/>
        </w:rPr>
        <w:t>教学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计划</w:t>
      </w:r>
      <w:r>
        <w:rPr>
          <w:rFonts w:ascii="Times New Roman" w:hAnsi="Times New Roman" w:eastAsia="宋体" w:cs="Times New Roman"/>
          <w:b/>
          <w:sz w:val="28"/>
          <w:szCs w:val="28"/>
        </w:rPr>
        <w:t>表</w:t>
      </w:r>
    </w:p>
    <w:p w14:paraId="6CFB2D41">
      <w:pPr>
        <w:jc w:val="left"/>
        <w:rPr>
          <w:b/>
          <w:bCs/>
        </w:rPr>
      </w:pPr>
      <w:r>
        <w:rPr>
          <w:rFonts w:hint="eastAsia"/>
          <w:b/>
          <w:bCs/>
        </w:rPr>
        <w:t>实践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 xml:space="preserve">名称：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"/>
        <w:tblW w:w="499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20"/>
        <w:gridCol w:w="2012"/>
        <w:gridCol w:w="708"/>
        <w:gridCol w:w="1083"/>
        <w:gridCol w:w="1083"/>
        <w:gridCol w:w="1084"/>
        <w:gridCol w:w="1084"/>
      </w:tblGrid>
      <w:tr w14:paraId="730BB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040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周次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20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</w:t>
            </w:r>
            <w:r>
              <w:rPr>
                <w:rFonts w:hint="default"/>
                <w:b/>
              </w:rPr>
              <w:t>项目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F79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实践内容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9A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实践形式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61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实践场所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6B5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88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企业</w:t>
            </w:r>
            <w:r>
              <w:rPr>
                <w:rFonts w:hint="eastAsia"/>
                <w:b/>
              </w:rPr>
              <w:t>导师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C3B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校方</w:t>
            </w:r>
            <w:r>
              <w:rPr>
                <w:rFonts w:hint="eastAsia"/>
                <w:b/>
              </w:rPr>
              <w:t>导师</w:t>
            </w:r>
          </w:p>
        </w:tc>
      </w:tr>
      <w:tr w14:paraId="5A505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4E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第1周</w:t>
            </w:r>
          </w:p>
        </w:tc>
        <w:tc>
          <w:tcPr>
            <w:tcW w:w="32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91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FF000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</w:rPr>
              <w:t>举例：行业认知与企业文化</w:t>
            </w:r>
          </w:p>
          <w:p w14:paraId="2EAE0F44">
            <w:pPr>
              <w:keepNext w:val="0"/>
              <w:keepLines w:val="0"/>
              <w:suppressLineNumbers w:val="0"/>
              <w:tabs>
                <w:tab w:val="left" w:pos="455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8C8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周一：</w:t>
            </w:r>
          </w:p>
          <w:p w14:paraId="373D4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1.企业概况、企业文化宣讲；</w:t>
            </w:r>
          </w:p>
          <w:p w14:paraId="452EC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2.破冰行动，师生见面交流会</w:t>
            </w:r>
          </w:p>
          <w:p w14:paraId="2E47B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06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专题讲座</w:t>
            </w:r>
          </w:p>
          <w:p w14:paraId="1B784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  <w:p w14:paraId="707DC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交流会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57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。。。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74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FFA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C8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2C13E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0F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6B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6B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周二：</w:t>
            </w:r>
          </w:p>
          <w:p w14:paraId="01772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1.实地参观：参观企业文化和创新重要场所。（展示区域、管理部门、创新基地等）</w:t>
            </w:r>
          </w:p>
          <w:p w14:paraId="52919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2.专题访谈：分组采访企业文化先进个人（先进个人、各级管理者等）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C5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E2B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94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5B3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8EF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71DFE052">
        <w:trPr>
          <w:trHeight w:val="11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577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1FF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886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周三：1. 行业前沿对话：邀请基地行业专家分享行业最新动态，共同探讨未来趋势。</w:t>
            </w:r>
          </w:p>
          <w:p w14:paraId="46207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 小组讨论：分组探讨企业文化如何适应行业变化，集思广益。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6C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D9F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088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70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0A1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6F475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D9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827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62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周四：</w:t>
            </w:r>
          </w:p>
          <w:p w14:paraId="0E74A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1. 文化案例精析：分析成功与失败的企业文化案例，吸取经验教训。</w:t>
            </w:r>
          </w:p>
          <w:p w14:paraId="2B6C3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 创新工作坊：激发创新思维，探索企业文化创新路径。</w:t>
            </w:r>
          </w:p>
          <w:p w14:paraId="728CD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55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B5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0A3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38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12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675B6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E4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45A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73C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周五： 1.企业文化创建策划：结合所学，策划企业文化建设方案。</w:t>
            </w:r>
          </w:p>
          <w:p w14:paraId="4D977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2.交流分享：分组交流汇报文化创建方案，组织评比。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B8B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DB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901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91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EC0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3DD9C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ACC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第2周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FA7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E8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40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DF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B15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8F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14F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3659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854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第3周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C7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41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386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B5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DA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5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52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3EFF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29B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第4周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DE4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AE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41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798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67B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EFB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14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29607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AB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第5周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54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88D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63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65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DC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3C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B10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19C40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4D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第6周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9D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3B5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D2E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C2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6CB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1E4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D3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61E37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A2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第7周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9F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11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AA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9A5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74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3A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82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7409B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3D2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第8周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实践考核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C8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学生撰写并提交实践成果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205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组织考核答辩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C0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6EB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A37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09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 w14:paraId="49C1963A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填表人：</w:t>
      </w:r>
    </w:p>
    <w:p w14:paraId="6B6EE8C0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联系人：</w:t>
      </w:r>
    </w:p>
    <w:p w14:paraId="65BED1CA">
      <w:pPr>
        <w:rPr>
          <w:rFonts w:hint="default" w:eastAsiaTheme="minor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审核人：</w:t>
      </w:r>
    </w:p>
    <w:p w14:paraId="3432A92A">
      <w:pPr>
        <w:rPr>
          <w:rFonts w:hint="eastAsia"/>
          <w:color w:val="FF0000"/>
        </w:rPr>
      </w:pPr>
      <w:r>
        <w:rPr>
          <w:rFonts w:hint="eastAsia"/>
          <w:color w:val="FF0000"/>
        </w:rPr>
        <w:t>填表说明：此表由</w:t>
      </w:r>
      <w:r>
        <w:rPr>
          <w:rFonts w:hint="eastAsia"/>
          <w:color w:val="FF0000"/>
          <w:lang w:val="en-US" w:eastAsia="zh-CN"/>
        </w:rPr>
        <w:t>实践带队教师</w:t>
      </w:r>
      <w:r>
        <w:rPr>
          <w:rFonts w:hint="eastAsia"/>
          <w:color w:val="FF0000"/>
        </w:rPr>
        <w:t>在深入理解培养方案、教学大纲基础上，与实践</w:t>
      </w:r>
      <w:r>
        <w:rPr>
          <w:rFonts w:hint="eastAsia"/>
          <w:color w:val="FF0000"/>
          <w:lang w:val="en-US" w:eastAsia="zh-CN"/>
        </w:rPr>
        <w:t>单位</w:t>
      </w:r>
      <w:r>
        <w:rPr>
          <w:rFonts w:hint="eastAsia"/>
          <w:color w:val="FF0000"/>
        </w:rPr>
        <w:t>详细对接后，按周次、日程逐项填写，要求落实到每天的教学环节，丰富教学形式，加强教学互动，实现课程目标，达到良好的实践效果；由课程负责人组织教学团队进行审核。第8周建议作为成果撰写与考核周。</w:t>
      </w:r>
    </w:p>
    <w:p w14:paraId="2B2618C0">
      <w:bookmarkStart w:id="0" w:name="_GoBack"/>
      <w:bookmarkEnd w:id="0"/>
    </w:p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2025-11-03T07:24:22Z</dcterms:created>
  <dc:creator>Administrator</dc:creator>
  <cp:lastModifiedBy>卢</cp:lastModifiedBy>
  <dcterms:modified xsi:type="dcterms:W3CDTF">2025-11-03T07:24:29Z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3E1AF8A5D8C742C0B81885344A1BB2B1_12</vt:lpwstr>
  </property>
</Properties>
</file>