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微软雅黑" w:hAnsi="微软雅黑" w:cs="微软雅黑"/>
          <w:sz w:val="84"/>
          <w:szCs w:val="84"/>
          <w:lang w:val="en-US" w:eastAsia="zh-CN"/>
        </w:rPr>
      </w:pP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  <w:lang w:val="en-US" w:eastAsia="zh-CN"/>
        </w:rPr>
        <w:t>考生APP</w:t>
      </w: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  <w:r>
        <w:rPr>
          <w:rFonts w:hint="eastAsia" w:ascii="微软雅黑" w:hAnsi="微软雅黑" w:eastAsia="微软雅黑" w:cs="微软雅黑"/>
          <w:sz w:val="84"/>
          <w:szCs w:val="84"/>
        </w:rPr>
        <w:t>使用手册</w:t>
      </w: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</w:p>
    <w:p>
      <w:pPr>
        <w:pStyle w:val="2"/>
        <w:rPr>
          <w:rFonts w:hint="eastAsia" w:ascii="微软雅黑" w:hAnsi="微软雅黑" w:eastAsia="微软雅黑" w:cs="微软雅黑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3097"/>
        <w:gridCol w:w="2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pStyle w:val="2"/>
              <w:jc w:val="center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</w:rPr>
              <w:t>版本号：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3560" w:type="dxa"/>
          </w:tcPr>
          <w:p>
            <w:pPr>
              <w:pStyle w:val="2"/>
              <w:jc w:val="center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2021-12-</w:t>
            </w:r>
            <w:r>
              <w:rPr>
                <w:rFonts w:hint="eastAsia" w:ascii="微软雅黑" w:hAnsi="微软雅黑" w:cs="微软雅黑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560" w:type="dxa"/>
          </w:tcPr>
          <w:p>
            <w:pPr>
              <w:pStyle w:val="2"/>
              <w:jc w:val="center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建立初版</w:t>
            </w:r>
          </w:p>
        </w:tc>
      </w:tr>
    </w:tbl>
    <w:p>
      <w:pPr>
        <w:pStyle w:val="2"/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p>
      <w:pPr>
        <w:pStyle w:val="2"/>
        <w:rPr>
          <w:rFonts w:hint="eastAsia" w:ascii="微软雅黑" w:hAnsi="微软雅黑" w:eastAsia="微软雅黑" w:cs="微软雅黑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dt>
      <w:sdtPr>
        <w:rPr>
          <w:lang w:val="zh-CN"/>
        </w:rPr>
        <w:id w:val="-1913381535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30"/>
          </w:pPr>
          <w:r>
            <w:rPr>
              <w:lang w:val="zh-CN"/>
            </w:rPr>
            <w:t>目录</w:t>
          </w:r>
        </w:p>
        <w:p>
          <w:pPr>
            <w:pStyle w:val="12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_Toc16040 </w:instrText>
          </w:r>
          <w:r>
            <w:fldChar w:fldCharType="separate"/>
          </w:r>
          <w:r>
            <w:rPr>
              <w:rFonts w:hint="eastAsia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_Toc16040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_Toc21118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</w:rPr>
            <w:t>1.1下载App</w:t>
          </w:r>
          <w:r>
            <w:tab/>
          </w:r>
          <w:r>
            <w:fldChar w:fldCharType="begin"/>
          </w:r>
          <w:r>
            <w:instrText xml:space="preserve"> PAGEREF _Toc21118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_Toc4047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_Toc4047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_Toc2321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</w:rPr>
            <w:t>1.</w:t>
          </w:r>
          <w:r>
            <w:rPr>
              <w:rFonts w:hint="eastAsia" w:ascii="微软雅黑" w:hAnsi="微软雅黑"/>
              <w:lang w:val="en-US" w:eastAsia="zh-CN"/>
            </w:rPr>
            <w:t>3</w:t>
          </w:r>
          <w:r>
            <w:rPr>
              <w:rFonts w:hint="eastAsia" w:ascii="微软雅黑" w:hAnsi="微软雅黑"/>
            </w:rPr>
            <w:t>查看</w:t>
          </w:r>
          <w:r>
            <w:rPr>
              <w:rFonts w:hint="eastAsia" w:ascii="微软雅黑" w:hAnsi="微软雅黑"/>
              <w:lang w:val="en-US" w:eastAsia="zh-CN"/>
            </w:rPr>
            <w:t>学校</w:t>
          </w:r>
          <w:r>
            <w:rPr>
              <w:rFonts w:hint="eastAsia" w:ascii="微软雅黑" w:hAnsi="微软雅黑"/>
            </w:rPr>
            <w:t>公告</w:t>
          </w:r>
          <w:r>
            <w:tab/>
          </w:r>
          <w:r>
            <w:fldChar w:fldCharType="begin"/>
          </w:r>
          <w:r>
            <w:instrText xml:space="preserve"> PAGEREF _Toc2321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_Toc30360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</w:rPr>
            <w:t>1.</w:t>
          </w:r>
          <w:r>
            <w:rPr>
              <w:rFonts w:hint="eastAsia" w:ascii="微软雅黑" w:hAnsi="微软雅黑"/>
              <w:lang w:val="en-US" w:eastAsia="zh-CN"/>
            </w:rPr>
            <w:t>4切换学院</w:t>
          </w:r>
          <w:r>
            <w:tab/>
          </w:r>
          <w:r>
            <w:fldChar w:fldCharType="begin"/>
          </w:r>
          <w:r>
            <w:instrText xml:space="preserve"> PAGEREF _Toc30360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_Toc6990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</w:rPr>
            <w:t>1.</w:t>
          </w:r>
          <w:r>
            <w:rPr>
              <w:rFonts w:hint="eastAsia" w:ascii="微软雅黑" w:hAnsi="微软雅黑"/>
              <w:lang w:val="en-US" w:eastAsia="zh-CN"/>
            </w:rPr>
            <w:t>5</w:t>
          </w:r>
          <w:r>
            <w:rPr>
              <w:rFonts w:hint="eastAsia" w:ascii="微软雅黑" w:hAnsi="微软雅黑"/>
            </w:rPr>
            <w:t>选择考试业务</w:t>
          </w:r>
          <w:r>
            <w:tab/>
          </w:r>
          <w:r>
            <w:fldChar w:fldCharType="begin"/>
          </w:r>
          <w:r>
            <w:instrText xml:space="preserve"> PAGEREF _Toc6990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_Toc14780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</w:rPr>
            <w:t>1.</w:t>
          </w:r>
          <w:r>
            <w:rPr>
              <w:rFonts w:hint="eastAsia" w:ascii="微软雅黑" w:hAnsi="微软雅黑"/>
              <w:lang w:val="en-US" w:eastAsia="zh-CN"/>
            </w:rPr>
            <w:t>6进入业务上传附件</w:t>
          </w:r>
          <w:r>
            <w:tab/>
          </w:r>
          <w:r>
            <w:fldChar w:fldCharType="begin"/>
          </w:r>
          <w:r>
            <w:instrText xml:space="preserve"> PAGEREF _Toc14780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_Toc31599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7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进入业务查看</w:t>
          </w:r>
          <w:r>
            <w:rPr>
              <w:rFonts w:hint="eastAsia" w:ascii="微软雅黑" w:hAnsi="微软雅黑" w:cs="微软雅黑"/>
              <w:lang w:val="en-US" w:eastAsia="zh-CN"/>
            </w:rPr>
            <w:t>考试业务公告</w:t>
          </w:r>
          <w:r>
            <w:tab/>
          </w:r>
          <w:r>
            <w:fldChar w:fldCharType="begin"/>
          </w:r>
          <w:r>
            <w:instrText xml:space="preserve"> PAGEREF _Toc31599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_Toc22352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</w:rPr>
            <w:t>1.8</w:t>
          </w:r>
          <w:r>
            <w:rPr>
              <w:rFonts w:hint="eastAsia" w:ascii="微软雅黑" w:hAnsi="微软雅黑"/>
              <w:lang w:val="en-US" w:eastAsia="zh-CN"/>
            </w:rPr>
            <w:t>进入业务查看</w:t>
          </w:r>
          <w:r>
            <w:rPr>
              <w:rFonts w:hint="eastAsia" w:ascii="微软雅黑" w:hAnsi="微软雅黑"/>
            </w:rPr>
            <w:t>考场</w:t>
          </w:r>
          <w:r>
            <w:tab/>
          </w:r>
          <w:r>
            <w:fldChar w:fldCharType="begin"/>
          </w:r>
          <w:r>
            <w:instrText xml:space="preserve"> PAGEREF _Toc22352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2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_Toc14580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_Toc14580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_Toc27555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2.1</w:t>
          </w:r>
          <w:r>
            <w:rPr>
              <w:rFonts w:hint="eastAsia"/>
              <w:lang w:val="en-US" w:eastAsia="zh-CN"/>
            </w:rPr>
            <w:t>互动</w:t>
          </w:r>
          <w:r>
            <w:rPr>
              <w:rFonts w:hint="eastAsia"/>
            </w:rPr>
            <w:t>面试</w:t>
          </w:r>
          <w:r>
            <w:tab/>
          </w:r>
          <w:r>
            <w:fldChar w:fldCharType="begin"/>
          </w:r>
          <w:r>
            <w:instrText xml:space="preserve"> PAGEREF _Toc27555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_Toc26230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微软雅黑" w:hAnsi="微软雅黑"/>
            </w:rPr>
            <w:t>2.1.1选择加入第一机位</w:t>
          </w:r>
          <w:r>
            <w:tab/>
          </w:r>
          <w:r>
            <w:fldChar w:fldCharType="begin"/>
          </w:r>
          <w:r>
            <w:instrText xml:space="preserve"> PAGEREF _Toc26230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_Toc12364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  <w:lang w:val="en-US" w:eastAsia="zh-CN"/>
            </w:rPr>
            <w:t>2</w:t>
          </w:r>
          <w:r>
            <w:rPr>
              <w:rFonts w:ascii="微软雅黑" w:hAnsi="微软雅黑"/>
            </w:rPr>
            <w:t>签约考试承诺书</w:t>
          </w:r>
          <w:r>
            <w:tab/>
          </w:r>
          <w:r>
            <w:fldChar w:fldCharType="begin"/>
          </w:r>
          <w:r>
            <w:instrText xml:space="preserve"> PAGEREF _Toc12364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_Toc2826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  <w:lang w:val="en-US" w:eastAsia="zh-CN"/>
            </w:rPr>
            <w:t>3</w:t>
          </w:r>
          <w:r>
            <w:rPr>
              <w:rFonts w:ascii="微软雅黑" w:hAnsi="微软雅黑"/>
            </w:rPr>
            <w:t>人脸识别</w:t>
          </w:r>
          <w:r>
            <w:tab/>
          </w:r>
          <w:r>
            <w:fldChar w:fldCharType="begin"/>
          </w:r>
          <w:r>
            <w:instrText xml:space="preserve"> PAGEREF _Toc2826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_Toc23680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微软雅黑" w:hAnsi="微软雅黑"/>
            </w:rPr>
            <w:t>2.1.4进入候考区</w:t>
          </w:r>
          <w:r>
            <w:tab/>
          </w:r>
          <w:r>
            <w:fldChar w:fldCharType="begin"/>
          </w:r>
          <w:r>
            <w:instrText xml:space="preserve"> PAGEREF _Toc23680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_Toc25532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  <w:lang w:val="en-US" w:eastAsia="zh-CN"/>
            </w:rPr>
            <w:t>5</w:t>
          </w:r>
          <w:r>
            <w:rPr>
              <w:rFonts w:ascii="微软雅黑" w:hAnsi="微软雅黑"/>
            </w:rPr>
            <w:t>加入第二摄像头</w:t>
          </w:r>
          <w:r>
            <w:tab/>
          </w:r>
          <w:r>
            <w:fldChar w:fldCharType="begin"/>
          </w:r>
          <w:r>
            <w:instrText xml:space="preserve"> PAGEREF _Toc25532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_Toc14622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  <w:lang w:val="en-US" w:eastAsia="zh-CN"/>
            </w:rPr>
            <w:t>6</w:t>
          </w:r>
          <w:r>
            <w:rPr>
              <w:rFonts w:ascii="微软雅黑" w:hAnsi="微软雅黑"/>
            </w:rPr>
            <w:t>进入考场</w:t>
          </w:r>
          <w:r>
            <w:tab/>
          </w:r>
          <w:r>
            <w:fldChar w:fldCharType="begin"/>
          </w:r>
          <w:r>
            <w:instrText xml:space="preserve"> PAGEREF _Toc14622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_Toc7660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.2</w:t>
          </w:r>
          <w:r>
            <w:rPr>
              <w:rFonts w:hint="eastAsia"/>
              <w:lang w:val="en-US" w:eastAsia="zh-CN"/>
            </w:rPr>
            <w:t>人机</w:t>
          </w:r>
          <w:r>
            <w:rPr>
              <w:rFonts w:hint="eastAsia"/>
            </w:rPr>
            <w:t>笔试</w:t>
          </w:r>
          <w:r>
            <w:tab/>
          </w:r>
          <w:r>
            <w:fldChar w:fldCharType="begin"/>
          </w:r>
          <w:r>
            <w:instrText xml:space="preserve"> PAGEREF _Toc7660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_Toc3603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微软雅黑" w:hAnsi="微软雅黑"/>
            </w:rPr>
            <w:t>2.2.1查看考场</w:t>
          </w:r>
          <w:r>
            <w:tab/>
          </w:r>
          <w:r>
            <w:fldChar w:fldCharType="begin"/>
          </w:r>
          <w:r>
            <w:instrText xml:space="preserve"> PAGEREF _Toc3603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2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_Toc14743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</w:rPr>
            <w:t>.考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后</w:t>
          </w:r>
          <w:r>
            <w:tab/>
          </w:r>
          <w:r>
            <w:fldChar w:fldCharType="begin"/>
          </w:r>
          <w:r>
            <w:instrText xml:space="preserve"> PAGEREF _Toc14743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_Toc31760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  <w:szCs w:val="24"/>
            </w:rPr>
            <w:t>.1.</w:t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互动</w:t>
          </w:r>
          <w:r>
            <w:rPr>
              <w:rFonts w:hint="eastAsia" w:ascii="微软雅黑" w:hAnsi="微软雅黑" w:eastAsia="微软雅黑" w:cs="微软雅黑"/>
              <w:szCs w:val="24"/>
            </w:rPr>
            <w:t>面试</w:t>
          </w:r>
          <w:r>
            <w:tab/>
          </w:r>
          <w:r>
            <w:fldChar w:fldCharType="begin"/>
          </w:r>
          <w:r>
            <w:instrText xml:space="preserve"> PAGEREF _Toc31760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_Toc31434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  <w:szCs w:val="24"/>
            </w:rPr>
            <w:t>.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4"/>
            </w:rPr>
            <w:t>.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人机笔试</w:t>
          </w:r>
          <w:r>
            <w:tab/>
          </w:r>
          <w:r>
            <w:fldChar w:fldCharType="begin"/>
          </w:r>
          <w:r>
            <w:instrText xml:space="preserve"> PAGEREF _Toc31434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</w:pPr>
      <w:bookmarkStart w:id="0" w:name="_Toc16040"/>
      <w:r>
        <w:rPr>
          <w:rFonts w:hint="eastAsia"/>
        </w:rPr>
        <w:t>1.考前</w:t>
      </w:r>
      <w:bookmarkEnd w:id="0"/>
    </w:p>
    <w:p>
      <w:pPr>
        <w:pStyle w:val="4"/>
        <w:rPr>
          <w:rFonts w:ascii="微软雅黑" w:hAnsi="微软雅黑"/>
        </w:rPr>
      </w:pPr>
      <w:bookmarkStart w:id="1" w:name="_Toc21118"/>
      <w:r>
        <w:rPr>
          <w:rFonts w:hint="eastAsia" w:ascii="微软雅黑" w:hAnsi="微软雅黑"/>
        </w:rPr>
        <w:t>1.1下载App</w:t>
      </w:r>
      <w:bookmarkEnd w:id="1"/>
    </w:p>
    <w:p>
      <w:pPr>
        <w:numPr>
          <w:ilvl w:val="0"/>
          <w:numId w:val="2"/>
        </w:numPr>
      </w:pPr>
      <w:r>
        <w:rPr>
          <w:rFonts w:hint="eastAsia"/>
        </w:rPr>
        <w:t>安卓手机建议使用浏览器</w:t>
      </w:r>
      <w:bookmarkStart w:id="28" w:name="_GoBack"/>
      <w:r>
        <w:rPr>
          <w:rFonts w:hint="eastAsia"/>
        </w:rPr>
        <w:t>https://home.yunkaoai.com/</w:t>
      </w:r>
      <w:bookmarkEnd w:id="28"/>
      <w:r>
        <w:rPr>
          <w:rFonts w:hint="eastAsia"/>
          <w:lang w:val="en-US" w:eastAsia="zh-CN"/>
        </w:rPr>
        <w:t>登录下载</w:t>
      </w:r>
      <w:r>
        <w:rPr>
          <w:rFonts w:hint="eastAsia"/>
        </w:rPr>
        <w:t>，iOS可直接在App Store中输入“云考</w:t>
      </w:r>
      <w:r>
        <w:rPr>
          <w:rFonts w:hint="eastAsia"/>
          <w:lang w:val="en-US" w:eastAsia="zh-CN"/>
        </w:rPr>
        <w:t>AI</w:t>
      </w:r>
      <w:r>
        <w:rPr>
          <w:rFonts w:hint="eastAsia"/>
        </w:rPr>
        <w:t>”进行下载</w:t>
      </w:r>
    </w:p>
    <w:p>
      <w:pPr>
        <w:numPr>
          <w:ilvl w:val="0"/>
          <w:numId w:val="2"/>
        </w:numPr>
      </w:pPr>
      <w:r>
        <w:rPr>
          <w:rFonts w:hint="eastAsia"/>
        </w:rPr>
        <w:t>点击下载按钮下载并安装App</w:t>
      </w:r>
    </w:p>
    <w:p>
      <w:pPr>
        <w:pStyle w:val="4"/>
        <w:rPr>
          <w:rFonts w:ascii="微软雅黑" w:hAnsi="微软雅黑"/>
        </w:rPr>
      </w:pPr>
      <w:bookmarkStart w:id="2" w:name="_Toc4047"/>
      <w:r>
        <w:rPr>
          <w:rFonts w:hint="eastAsia" w:ascii="微软雅黑" w:hAnsi="微软雅黑"/>
        </w:rPr>
        <w:t>1.2登录</w:t>
      </w:r>
      <w:bookmarkEnd w:id="2"/>
    </w:p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cs="微软雅黑"/>
        </w:rPr>
        <w:t>打开App，输入手机号和验证码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345565" cy="2183130"/>
            <wp:effectExtent l="0" t="0" r="6985" b="7620"/>
            <wp:docPr id="1" name="图片 1" descr="lQLPDhsmVGxnXHHNB4DNBLCwtq7TmwK6t5oCD3kDPMBUAA_1200_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LPDhsmVGxnXHHNB4DNBLCwtq7TmwK6t5oCD3kDPMBUAA_1200_1920"/>
                    <pic:cNvPicPr>
                      <a:picLocks noChangeAspect="1"/>
                    </pic:cNvPicPr>
                  </pic:nvPicPr>
                  <pic:blipFill>
                    <a:blip r:embed="rId5"/>
                    <a:srcRect t="2398" b="5995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3" w:name="_Toc2321"/>
      <w:r>
        <w:rPr>
          <w:rFonts w:hint="eastAsia" w:ascii="微软雅黑" w:hAnsi="微软雅黑"/>
        </w:rPr>
        <w:t>1.</w:t>
      </w:r>
      <w:r>
        <w:rPr>
          <w:rFonts w:hint="eastAsia" w:ascii="微软雅黑" w:hAnsi="微软雅黑"/>
          <w:lang w:val="en-US" w:eastAsia="zh-CN"/>
        </w:rPr>
        <w:t>3</w:t>
      </w:r>
      <w:r>
        <w:rPr>
          <w:rFonts w:hint="eastAsia" w:ascii="微软雅黑" w:hAnsi="微软雅黑"/>
        </w:rPr>
        <w:t>查看</w:t>
      </w:r>
      <w:r>
        <w:rPr>
          <w:rFonts w:hint="eastAsia" w:ascii="微软雅黑" w:hAnsi="微软雅黑"/>
          <w:lang w:val="en-US" w:eastAsia="zh-CN"/>
        </w:rPr>
        <w:t>学校</w:t>
      </w:r>
      <w:r>
        <w:rPr>
          <w:rFonts w:hint="eastAsia" w:ascii="微软雅黑" w:hAnsi="微软雅黑"/>
        </w:rPr>
        <w:t>公告</w:t>
      </w:r>
      <w:bookmarkEnd w:id="3"/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>考生可以查看学校公告，点击“查看全部”查看详细的学校公告内容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513205" cy="2693035"/>
            <wp:effectExtent l="0" t="0" r="10795" b="12065"/>
            <wp:docPr id="16" name="图片 16" descr="lQLPDhr5jc_zRhfNBHbNAoKwegY4QZSTgDEBxhyrcEB0AA_642_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lQLPDhr5jc_zRhfNBHbNAoKwegY4QZSTgDEBxhyrcEB0AA_642_11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1524635" cy="2713355"/>
            <wp:effectExtent l="0" t="0" r="18415" b="10795"/>
            <wp:docPr id="18" name="图片 18" descr="考生首页_学校公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考生首页_学校公告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 w:ascii="微软雅黑" w:hAnsi="微软雅黑"/>
          <w:lang w:val="en-US" w:eastAsia="zh-CN"/>
        </w:rPr>
      </w:pPr>
      <w:bookmarkStart w:id="4" w:name="_Toc30360"/>
      <w:r>
        <w:rPr>
          <w:rFonts w:hint="eastAsia" w:ascii="微软雅黑" w:hAnsi="微软雅黑"/>
        </w:rPr>
        <w:t>1.</w:t>
      </w:r>
      <w:r>
        <w:rPr>
          <w:rFonts w:hint="eastAsia" w:ascii="微软雅黑" w:hAnsi="微软雅黑"/>
          <w:lang w:val="en-US" w:eastAsia="zh-CN"/>
        </w:rPr>
        <w:t>4切换学院</w:t>
      </w:r>
      <w:bookmarkEnd w:id="4"/>
    </w:p>
    <w:p>
      <w:pPr>
        <w:rPr>
          <w:rFonts w:hint="eastAsia"/>
        </w:rPr>
      </w:pPr>
      <w:r>
        <w:rPr>
          <w:rFonts w:hint="eastAsia"/>
        </w:rPr>
        <w:t>若考生报考了多个学院，则学院可以进行切换，默认展示第一个学院的业务</w:t>
      </w:r>
    </w:p>
    <w:p>
      <w:pPr>
        <w:pStyle w:val="2"/>
      </w:pPr>
      <w:r>
        <w:drawing>
          <wp:inline distT="0" distB="0" distL="114300" distR="114300">
            <wp:extent cx="1514475" cy="2717165"/>
            <wp:effectExtent l="0" t="0" r="9525" b="698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4"/>
        <w:rPr>
          <w:rFonts w:ascii="微软雅黑" w:hAnsi="微软雅黑"/>
        </w:rPr>
      </w:pPr>
      <w:bookmarkStart w:id="5" w:name="_Toc6990"/>
      <w:r>
        <w:rPr>
          <w:rFonts w:hint="eastAsia" w:ascii="微软雅黑" w:hAnsi="微软雅黑"/>
        </w:rPr>
        <w:t>1.</w:t>
      </w:r>
      <w:r>
        <w:rPr>
          <w:rFonts w:hint="eastAsia" w:ascii="微软雅黑" w:hAnsi="微软雅黑"/>
          <w:lang w:val="en-US" w:eastAsia="zh-CN"/>
        </w:rPr>
        <w:t>5</w:t>
      </w:r>
      <w:r>
        <w:rPr>
          <w:rFonts w:hint="eastAsia" w:ascii="微软雅黑" w:hAnsi="微软雅黑"/>
        </w:rPr>
        <w:t>选择考试业务</w:t>
      </w:r>
      <w:bookmarkEnd w:id="5"/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显示该考</w:t>
      </w:r>
      <w:r>
        <w:rPr>
          <w:rFonts w:hint="eastAsia" w:ascii="微软雅黑" w:hAnsi="微软雅黑" w:cs="微软雅黑"/>
          <w:lang w:val="en-US" w:eastAsia="zh-CN"/>
        </w:rPr>
        <w:t>生</w:t>
      </w:r>
      <w:r>
        <w:rPr>
          <w:rFonts w:hint="eastAsia" w:ascii="微软雅黑" w:hAnsi="微软雅黑" w:eastAsia="微软雅黑" w:cs="微软雅黑"/>
          <w:lang w:val="en-US" w:eastAsia="zh-CN"/>
        </w:rPr>
        <w:t>所在的考试</w:t>
      </w:r>
      <w:r>
        <w:rPr>
          <w:rFonts w:hint="eastAsia" w:ascii="微软雅黑" w:hAnsi="微软雅黑" w:eastAsia="微软雅黑" w:cs="微软雅黑"/>
        </w:rPr>
        <w:t>业务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分为正式考试业务和模拟考试业务</w:t>
      </w:r>
      <w:r>
        <w:rPr>
          <w:rFonts w:hint="eastAsia"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可</w:t>
      </w:r>
      <w:r>
        <w:rPr>
          <w:rFonts w:hint="eastAsia" w:ascii="微软雅黑" w:hAnsi="微软雅黑" w:eastAsia="微软雅黑" w:cs="微软雅黑"/>
        </w:rPr>
        <w:t>选择进入</w:t>
      </w:r>
      <w:r>
        <w:rPr>
          <w:rFonts w:hint="eastAsia" w:ascii="微软雅黑" w:hAnsi="微软雅黑" w:eastAsia="微软雅黑" w:cs="微软雅黑"/>
          <w:lang w:val="en-US" w:eastAsia="zh-CN"/>
        </w:rPr>
        <w:t>某</w:t>
      </w:r>
      <w:r>
        <w:rPr>
          <w:rFonts w:hint="eastAsia" w:ascii="微软雅黑" w:hAnsi="微软雅黑" w:eastAsia="微软雅黑" w:cs="微软雅黑"/>
        </w:rPr>
        <w:t>个业务</w:t>
      </w:r>
      <w:r>
        <w:rPr>
          <w:rFonts w:hint="eastAsia" w:ascii="微软雅黑" w:hAnsi="微软雅黑" w:eastAsia="微软雅黑" w:cs="微软雅黑"/>
          <w:lang w:val="en-US" w:eastAsia="zh-CN"/>
        </w:rPr>
        <w:t>查看考场</w:t>
      </w:r>
    </w:p>
    <w:p>
      <w:pPr>
        <w:jc w:val="both"/>
      </w:pPr>
      <w:r>
        <w:drawing>
          <wp:inline distT="0" distB="0" distL="114300" distR="114300">
            <wp:extent cx="1439545" cy="2572385"/>
            <wp:effectExtent l="0" t="0" r="8255" b="1841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6" w:name="_Toc14780"/>
      <w:r>
        <w:rPr>
          <w:rFonts w:hint="eastAsia" w:ascii="微软雅黑" w:hAnsi="微软雅黑"/>
        </w:rPr>
        <w:t>1.</w:t>
      </w:r>
      <w:r>
        <w:rPr>
          <w:rFonts w:hint="eastAsia" w:ascii="微软雅黑" w:hAnsi="微软雅黑"/>
          <w:lang w:val="en-US" w:eastAsia="zh-CN"/>
        </w:rPr>
        <w:t>6进入业务上传附件</w:t>
      </w:r>
      <w:bookmarkEnd w:id="6"/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进入业务</w:t>
      </w:r>
      <w:r>
        <w:rPr>
          <w:rFonts w:hint="eastAsia" w:ascii="微软雅黑" w:hAnsi="微软雅黑" w:eastAsia="微软雅黑" w:cs="微软雅黑"/>
          <w:lang w:val="en-US" w:eastAsia="zh-CN"/>
        </w:rPr>
        <w:t>后，考生可以上传并提交考生信息以供审核</w:t>
      </w:r>
    </w:p>
    <w:p>
      <w:pPr>
        <w:pStyle w:val="2"/>
        <w:tabs>
          <w:tab w:val="left" w:pos="883"/>
        </w:tabs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1817370" cy="3076575"/>
            <wp:effectExtent l="0" t="0" r="11430" b="9525"/>
            <wp:docPr id="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点击“</w:t>
      </w:r>
      <w:r>
        <w:rPr>
          <w:rFonts w:hint="eastAsia" w:ascii="微软雅黑" w:hAnsi="微软雅黑" w:cs="微软雅黑"/>
          <w:lang w:val="en-US" w:eastAsia="zh-CN"/>
        </w:rPr>
        <w:t>上传文件</w:t>
      </w:r>
      <w:r>
        <w:rPr>
          <w:rFonts w:hint="eastAsia" w:ascii="微软雅黑" w:hAnsi="微软雅黑" w:eastAsia="微软雅黑" w:cs="微软雅黑"/>
          <w:lang w:val="en-US" w:eastAsia="zh-CN"/>
        </w:rPr>
        <w:t>”</w:t>
      </w:r>
      <w:r>
        <w:rPr>
          <w:rFonts w:hint="eastAsia" w:ascii="微软雅黑" w:hAnsi="微软雅黑" w:cs="微软雅黑"/>
          <w:lang w:val="en-US" w:eastAsia="zh-CN"/>
        </w:rPr>
        <w:t>选择学校要求的相关文件材料，最多可以上传20个文件，单个文件不可超过200M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51940" cy="2760980"/>
            <wp:effectExtent l="0" t="0" r="10160" b="1270"/>
            <wp:docPr id="43" name="图片 43" descr="信息审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信息审核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点击“完成”完成文件上传，文件上传状态变为“已上传，未提交”</w:t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点击“提交审核”，将上传的文件提交给管理员审核。未提交审核之前可以随时删除已上传的文件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82420" cy="3354705"/>
            <wp:effectExtent l="0" t="0" r="17780" b="17145"/>
            <wp:docPr id="44" name="图片 44" descr="信息审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信息审核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提交审核后，如果发现文件上传有误或者有缺失，可以选择撤回已上传的文件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48130" cy="3282315"/>
            <wp:effectExtent l="0" t="0" r="13970" b="13335"/>
            <wp:docPr id="45" name="图片 45" descr="信息审核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信息审核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撤回已上传的文件时，如果管理员还未审批，可以撤回成功，附件上传状态重新变为“未提交”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撤回已上传的文件时，如果管理员已审批，则提示撤回失败，需要联系学校管理员进行处理</w:t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管理员对考生上传的相关文件进行审核，如果管理员审核通过，考生端将看到审核通过字样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1619250" cy="2763520"/>
            <wp:effectExtent l="0" t="0" r="0" b="1778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管理员对考生上传的相关文件进行审核，如果管理员审核未通过，考生端将看到审核未通过字样</w:t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点击“查看原因”可以查看管理员审核未通过的原因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68755" cy="3114040"/>
            <wp:effectExtent l="0" t="0" r="17145" b="10160"/>
            <wp:docPr id="47" name="图片 47" descr="信息审核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信息审核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980"/>
        </w:tabs>
        <w:jc w:val="center"/>
      </w:pPr>
    </w:p>
    <w:p>
      <w:pPr>
        <w:pStyle w:val="4"/>
        <w:rPr>
          <w:rFonts w:hint="default" w:ascii="微软雅黑" w:hAnsi="微软雅黑" w:eastAsia="微软雅黑" w:cs="微软雅黑"/>
          <w:lang w:val="en-US" w:eastAsia="zh-CN"/>
        </w:rPr>
      </w:pPr>
      <w:bookmarkStart w:id="7" w:name="_Toc15476"/>
      <w:bookmarkStart w:id="8" w:name="_Toc17998"/>
      <w:bookmarkStart w:id="9" w:name="_Toc31599"/>
      <w:r>
        <w:rPr>
          <w:rFonts w:hint="eastAsia" w:ascii="微软雅黑" w:hAnsi="微软雅黑" w:eastAsia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lang w:val="en-US" w:eastAsia="zh-CN"/>
        </w:rPr>
        <w:t>进入业务查看</w:t>
      </w:r>
      <w:bookmarkEnd w:id="7"/>
      <w:bookmarkEnd w:id="8"/>
      <w:r>
        <w:rPr>
          <w:rFonts w:hint="eastAsia" w:ascii="微软雅黑" w:hAnsi="微软雅黑" w:cs="微软雅黑"/>
          <w:lang w:val="en-US" w:eastAsia="zh-CN"/>
        </w:rPr>
        <w:t>考试业务公告</w:t>
      </w:r>
      <w:bookmarkEnd w:id="9"/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进入业务</w:t>
      </w:r>
      <w:r>
        <w:rPr>
          <w:rFonts w:hint="eastAsia" w:ascii="微软雅黑" w:hAnsi="微软雅黑" w:eastAsia="微软雅黑" w:cs="微软雅黑"/>
          <w:lang w:val="en-US" w:eastAsia="zh-CN"/>
        </w:rPr>
        <w:t>后可预览考试业务公告，并可点击“查看全部”查看详细公告内容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409065" cy="2495550"/>
            <wp:effectExtent l="0" t="0" r="635" b="0"/>
            <wp:docPr id="50" name="图片 50" descr="lQLPDhr5j14b_BXNA3LNAfKw9dmgUI5BMw4Bxh83yUBzAA_498_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lQLPDhr5j14b_BXNA3LNAfKw9dmgUI5BMw4Bxh83yUBzAA_498_88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10" w:name="_Toc22352"/>
      <w:r>
        <w:rPr>
          <w:rFonts w:hint="eastAsia" w:ascii="微软雅黑" w:hAnsi="微软雅黑"/>
        </w:rPr>
        <w:t>1.8</w:t>
      </w:r>
      <w:r>
        <w:rPr>
          <w:rFonts w:hint="eastAsia" w:ascii="微软雅黑" w:hAnsi="微软雅黑"/>
          <w:lang w:val="en-US" w:eastAsia="zh-CN"/>
        </w:rPr>
        <w:t>进入业务查看</w:t>
      </w:r>
      <w:r>
        <w:rPr>
          <w:rFonts w:hint="eastAsia" w:ascii="微软雅黑" w:hAnsi="微软雅黑"/>
        </w:rPr>
        <w:t>考场</w:t>
      </w:r>
      <w:bookmarkEnd w:id="10"/>
    </w:p>
    <w:p>
      <w:pPr>
        <w:numPr>
          <w:ilvl w:val="0"/>
          <w:numId w:val="5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互动面试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lang w:val="en-US" w:eastAsia="zh-CN"/>
        </w:rPr>
        <w:t>可查看该考试业务中的所有考场信息，包括考场名称、考试时间、考场状态等。</w:t>
      </w:r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1617345" cy="2577465"/>
            <wp:effectExtent l="0" t="0" r="1905" b="13335"/>
            <wp:docPr id="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人机笔试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lang w:val="en-US" w:eastAsia="zh-CN"/>
        </w:rPr>
        <w:t>可查看该考试业务中的所有考场信息，包括考场名称、考试时间、考场状态</w:t>
      </w:r>
      <w:r>
        <w:rPr>
          <w:rFonts w:hint="eastAsia" w:ascii="微软雅黑" w:hAnsi="微软雅黑" w:cs="微软雅黑"/>
          <w:lang w:val="en-US" w:eastAsia="zh-CN"/>
        </w:rPr>
        <w:t>、下载答题卡</w:t>
      </w:r>
      <w:r>
        <w:rPr>
          <w:rFonts w:hint="eastAsia" w:ascii="微软雅黑" w:hAnsi="微软雅黑" w:eastAsia="微软雅黑" w:cs="微软雅黑"/>
          <w:lang w:val="en-US" w:eastAsia="zh-CN"/>
        </w:rPr>
        <w:t>等。</w:t>
      </w:r>
    </w:p>
    <w:p>
      <w:pPr>
        <w:pStyle w:val="2"/>
      </w:pPr>
      <w:r>
        <w:drawing>
          <wp:inline distT="0" distB="0" distL="114300" distR="114300">
            <wp:extent cx="1600200" cy="2816225"/>
            <wp:effectExtent l="0" t="0" r="0" b="3175"/>
            <wp:docPr id="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3"/>
      </w:pPr>
      <w:bookmarkStart w:id="11" w:name="_Toc14580"/>
      <w:r>
        <w:rPr>
          <w:rFonts w:hint="eastAsia"/>
        </w:rPr>
        <w:t>2.考中</w:t>
      </w:r>
      <w:bookmarkEnd w:id="11"/>
    </w:p>
    <w:p>
      <w:r>
        <w:rPr>
          <w:rFonts w:hint="eastAsia"/>
        </w:rPr>
        <w:t>进入考试房间</w:t>
      </w:r>
    </w:p>
    <w:p>
      <w:pPr>
        <w:pStyle w:val="4"/>
      </w:pPr>
      <w:bookmarkStart w:id="12" w:name="_Toc27555"/>
      <w:r>
        <w:rPr>
          <w:rFonts w:hint="eastAsia"/>
        </w:rPr>
        <w:t>2.1</w:t>
      </w:r>
      <w:r>
        <w:rPr>
          <w:rFonts w:hint="eastAsia"/>
          <w:lang w:val="en-US" w:eastAsia="zh-CN"/>
        </w:rPr>
        <w:t>互动</w:t>
      </w:r>
      <w:r>
        <w:rPr>
          <w:rFonts w:hint="eastAsia"/>
        </w:rPr>
        <w:t>面试</w:t>
      </w:r>
      <w:bookmarkEnd w:id="12"/>
    </w:p>
    <w:p>
      <w:pPr>
        <w:pStyle w:val="5"/>
        <w:rPr>
          <w:rFonts w:ascii="微软雅黑" w:hAnsi="微软雅黑"/>
        </w:rPr>
      </w:pPr>
      <w:bookmarkStart w:id="13" w:name="_Toc26230"/>
      <w:r>
        <w:rPr>
          <w:rFonts w:ascii="微软雅黑" w:hAnsi="微软雅黑"/>
        </w:rPr>
        <w:t>2.1.1选择加入第一机位</w:t>
      </w:r>
      <w:bookmarkEnd w:id="13"/>
    </w:p>
    <w:p>
      <w:pPr>
        <w:jc w:val="both"/>
      </w:pPr>
      <w:r>
        <w:drawing>
          <wp:inline distT="0" distB="0" distL="114300" distR="114300">
            <wp:extent cx="1981200" cy="3436620"/>
            <wp:effectExtent l="0" t="0" r="0" b="11430"/>
            <wp:docPr id="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4" w:name="_Toc12364"/>
      <w:r>
        <w:rPr>
          <w:rFonts w:ascii="微软雅黑" w:hAnsi="微软雅黑"/>
        </w:rPr>
        <w:t>2.1.</w:t>
      </w:r>
      <w:r>
        <w:rPr>
          <w:rFonts w:hint="eastAsia" w:ascii="微软雅黑" w:hAnsi="微软雅黑"/>
          <w:lang w:val="en-US" w:eastAsia="zh-CN"/>
        </w:rPr>
        <w:t>2</w:t>
      </w:r>
      <w:r>
        <w:rPr>
          <w:rFonts w:ascii="微软雅黑" w:hAnsi="微软雅黑"/>
        </w:rPr>
        <w:t>签约考试承诺书</w:t>
      </w:r>
      <w:bookmarkEnd w:id="14"/>
    </w:p>
    <w:p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797685" cy="3197225"/>
            <wp:effectExtent l="0" t="0" r="12065" b="3175"/>
            <wp:docPr id="65" name="图片 65" descr="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人脸识别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5" w:name="_Toc2826"/>
      <w:r>
        <w:rPr>
          <w:rFonts w:ascii="微软雅黑" w:hAnsi="微软雅黑"/>
        </w:rPr>
        <w:t>2.1.</w:t>
      </w:r>
      <w:r>
        <w:rPr>
          <w:rFonts w:hint="eastAsia" w:ascii="微软雅黑" w:hAnsi="微软雅黑"/>
          <w:lang w:val="en-US" w:eastAsia="zh-CN"/>
        </w:rPr>
        <w:t>3</w:t>
      </w:r>
      <w:r>
        <w:rPr>
          <w:rFonts w:ascii="微软雅黑" w:hAnsi="微软雅黑"/>
        </w:rPr>
        <w:t>人脸识别</w:t>
      </w:r>
      <w:bookmarkEnd w:id="15"/>
    </w:p>
    <w:p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6"/>
        </w:numPr>
      </w:pPr>
      <w:r>
        <w:rPr>
          <w:rFonts w:hint="eastAsia" w:ascii="微软雅黑" w:hAnsi="微软雅黑" w:cs="微软雅黑"/>
        </w:rPr>
        <w:t>阅读人脸识别须知</w:t>
      </w:r>
    </w:p>
    <w:p>
      <w:pPr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663700" cy="2960370"/>
            <wp:effectExtent l="0" t="0" r="12700" b="11430"/>
            <wp:docPr id="73" name="图片 73" descr="人脸识别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人脸识别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jc w:val="both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1572895" cy="2798445"/>
            <wp:effectExtent l="0" t="0" r="8255" b="1905"/>
            <wp:docPr id="74" name="图片 74" descr="人脸识别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人脸识别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rPr>
          <w:rFonts w:hint="eastAsia"/>
        </w:rPr>
        <w:t>若认证通过可进入下一步，若认证失败可重试或进入下一步</w:t>
      </w:r>
    </w:p>
    <w:p>
      <w:pPr>
        <w:pStyle w:val="5"/>
        <w:rPr>
          <w:rFonts w:ascii="微软雅黑" w:hAnsi="微软雅黑"/>
        </w:rPr>
      </w:pPr>
      <w:bookmarkStart w:id="16" w:name="_Toc23680"/>
      <w:r>
        <w:rPr>
          <w:rFonts w:ascii="微软雅黑" w:hAnsi="微软雅黑"/>
        </w:rPr>
        <w:t>2.1.4进入候考区</w:t>
      </w:r>
      <w:bookmarkEnd w:id="16"/>
    </w:p>
    <w:p>
      <w:pPr>
        <w:numPr>
          <w:ilvl w:val="0"/>
          <w:numId w:val="7"/>
        </w:numPr>
      </w:pPr>
      <w:r>
        <w:rPr>
          <w:rFonts w:hint="eastAsia"/>
        </w:rPr>
        <w:t>考生先进入候考区与候考官交流</w:t>
      </w:r>
    </w:p>
    <w:p>
      <w:pPr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2004060" cy="3565525"/>
            <wp:effectExtent l="0" t="0" r="15240" b="15875"/>
            <wp:docPr id="76" name="图片 76" descr="候考区单机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候考区单机位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7" w:name="_Toc25532"/>
      <w:r>
        <w:rPr>
          <w:rFonts w:ascii="微软雅黑" w:hAnsi="微软雅黑"/>
        </w:rPr>
        <w:t>2.1.</w:t>
      </w:r>
      <w:r>
        <w:rPr>
          <w:rFonts w:hint="eastAsia" w:ascii="微软雅黑" w:hAnsi="微软雅黑"/>
          <w:lang w:val="en-US" w:eastAsia="zh-CN"/>
        </w:rPr>
        <w:t>5</w:t>
      </w:r>
      <w:r>
        <w:rPr>
          <w:rFonts w:ascii="微软雅黑" w:hAnsi="微软雅黑"/>
        </w:rPr>
        <w:t>加入第二摄像头</w:t>
      </w:r>
      <w:bookmarkEnd w:id="17"/>
    </w:p>
    <w:p>
      <w:pPr>
        <w:numPr>
          <w:ilvl w:val="0"/>
          <w:numId w:val="8"/>
        </w:numPr>
      </w:pPr>
      <w:r>
        <w:rPr>
          <w:rFonts w:hint="eastAsia" w:ascii="微软雅黑" w:hAnsi="微软雅黑" w:cs="微软雅黑"/>
        </w:rPr>
        <w:t>使用第二部手机打开App，并点击“扫描二维码”按钮扫描该二维码</w:t>
      </w:r>
    </w:p>
    <w:p>
      <w:pPr>
        <w:jc w:val="both"/>
      </w:pPr>
      <w:r>
        <w:drawing>
          <wp:inline distT="0" distB="0" distL="114300" distR="114300">
            <wp:extent cx="1786255" cy="2719070"/>
            <wp:effectExtent l="0" t="0" r="44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</w:pPr>
      <w:r>
        <w:rPr>
          <w:rFonts w:hint="eastAsia" w:ascii="微软雅黑" w:hAnsi="微软雅黑" w:cs="微软雅黑"/>
        </w:rPr>
        <w:t>也可在登录后选择“第二摄像头”加入考场</w:t>
      </w:r>
    </w:p>
    <w:p>
      <w:pPr>
        <w:jc w:val="both"/>
      </w:pPr>
      <w:r>
        <w:drawing>
          <wp:inline distT="0" distB="0" distL="114300" distR="114300">
            <wp:extent cx="1497965" cy="2559685"/>
            <wp:effectExtent l="0" t="0" r="6985" b="12065"/>
            <wp:docPr id="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8" w:name="_Toc14622"/>
      <w:r>
        <w:rPr>
          <w:rFonts w:ascii="微软雅黑" w:hAnsi="微软雅黑"/>
        </w:rPr>
        <w:t>2.1.</w:t>
      </w:r>
      <w:r>
        <w:rPr>
          <w:rFonts w:hint="eastAsia" w:ascii="微软雅黑" w:hAnsi="微软雅黑"/>
          <w:lang w:val="en-US" w:eastAsia="zh-CN"/>
        </w:rPr>
        <w:t>6</w:t>
      </w:r>
      <w:r>
        <w:rPr>
          <w:rFonts w:ascii="微软雅黑" w:hAnsi="微软雅黑"/>
        </w:rPr>
        <w:t>进入考场</w:t>
      </w:r>
      <w:bookmarkEnd w:id="18"/>
    </w:p>
    <w:p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当轮到该生进行面试时，该生在候考区会收到面试邀请</w:t>
      </w:r>
    </w:p>
    <w:p>
      <w:pPr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575435" cy="2803525"/>
            <wp:effectExtent l="0" t="0" r="5715" b="15875"/>
            <wp:docPr id="79" name="图片 79" descr="候考区_考官邀请面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候考区_考官邀请面试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</w:t>
      </w:r>
      <w:r>
        <w:rPr>
          <w:rFonts w:hint="eastAsia" w:ascii="微软雅黑" w:hAnsi="微软雅黑" w:cs="微软雅黑"/>
          <w:b/>
          <w:bCs/>
        </w:rPr>
        <w:t>开始面试</w:t>
      </w:r>
      <w:r>
        <w:rPr>
          <w:rFonts w:hint="eastAsia" w:ascii="微软雅黑" w:hAnsi="微软雅黑" w:cs="微软雅黑"/>
        </w:rPr>
        <w:t>按钮，考生会从候考区切换到考场进行面试</w:t>
      </w:r>
      <w:r>
        <w:rPr>
          <w:rFonts w:hint="eastAsia" w:ascii="微软雅黑" w:hAnsi="微软雅黑" w:cs="微软雅黑"/>
          <w:lang w:eastAsia="zh-CN"/>
        </w:rPr>
        <w:t>，</w:t>
      </w:r>
      <w:r>
        <w:rPr>
          <w:rFonts w:hint="eastAsia" w:ascii="微软雅黑" w:hAnsi="微软雅黑" w:cs="微软雅黑"/>
          <w:lang w:val="en-US" w:eastAsia="zh-CN"/>
        </w:rPr>
        <w:t>在主考区考生可以修改界面布局</w:t>
      </w:r>
    </w:p>
    <w:p>
      <w:pPr>
        <w:pStyle w:val="8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1854835" cy="3300095"/>
            <wp:effectExtent l="0" t="0" r="12065" b="14605"/>
            <wp:docPr id="80" name="图片 80" descr="主考区_排队面试_演讲者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主考区_排队面试_演讲者视图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</w:rPr>
        <w:drawing>
          <wp:inline distT="0" distB="0" distL="114300" distR="114300">
            <wp:extent cx="1864360" cy="3317240"/>
            <wp:effectExtent l="0" t="0" r="2540" b="16510"/>
            <wp:docPr id="84" name="图片 84" descr="主考区_排队面试_取消选择试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主考区_排队面试_取消选择试卷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</w:rPr>
        <w:drawing>
          <wp:inline distT="0" distB="0" distL="114300" distR="114300">
            <wp:extent cx="2947035" cy="1657350"/>
            <wp:effectExtent l="0" t="0" r="5715" b="0"/>
            <wp:docPr id="81" name="图片 81" descr="主考区二机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主考区二机位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查看考题：</w:t>
      </w:r>
      <w:r>
        <w:rPr>
          <w:rFonts w:hint="eastAsia" w:ascii="微软雅黑" w:hAnsi="微软雅黑" w:cs="微软雅黑"/>
          <w:lang w:val="en-US" w:eastAsia="zh-CN"/>
        </w:rPr>
        <w:t>主考官选择指定下发或随机下发试卷时，考生端会直接显示试卷，若主考官选择由学生选取，则会展示试卷列表，考生需要从中选择一个</w:t>
      </w:r>
    </w:p>
    <w:p>
      <w:pPr>
        <w:pStyle w:val="2"/>
        <w:jc w:val="both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1730375" cy="3079750"/>
            <wp:effectExtent l="0" t="0" r="3175" b="6350"/>
            <wp:docPr id="82" name="图片 82" descr="主考区_排队面试_随机试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主考区_排队面试_随机试卷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1713230" cy="3076575"/>
            <wp:effectExtent l="0" t="0" r="1270" b="9525"/>
            <wp:docPr id="85" name="图片 85" descr="lQLPDhr5kxyNUA3NBA7NAkKwl0nF9vr7Xf4BxiVaFIDhAA_578_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lQLPDhr5kxyNUA3NBA7NAkKwl0nF9vr7Xf4BxiVaFIDhAA_578_103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1735455" cy="3088005"/>
            <wp:effectExtent l="0" t="0" r="17145" b="17145"/>
            <wp:docPr id="83" name="图片 83" descr="主考区_查看试卷_在线编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主考区_查看试卷_在线编辑 (1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9" w:name="_Toc7660"/>
      <w:r>
        <w:rPr>
          <w:rFonts w:hint="eastAsia"/>
        </w:rPr>
        <w:t>2</w:t>
      </w:r>
      <w:r>
        <w:t>.2</w:t>
      </w:r>
      <w:r>
        <w:rPr>
          <w:rFonts w:hint="eastAsia"/>
          <w:lang w:val="en-US" w:eastAsia="zh-CN"/>
        </w:rPr>
        <w:t>人机</w:t>
      </w:r>
      <w:r>
        <w:rPr>
          <w:rFonts w:hint="eastAsia"/>
        </w:rPr>
        <w:t>笔试</w:t>
      </w:r>
      <w:bookmarkEnd w:id="19"/>
    </w:p>
    <w:p>
      <w:pPr>
        <w:pStyle w:val="5"/>
        <w:rPr>
          <w:rFonts w:ascii="微软雅黑" w:hAnsi="微软雅黑"/>
        </w:rPr>
      </w:pPr>
      <w:bookmarkStart w:id="20" w:name="_Toc3603"/>
      <w:r>
        <w:rPr>
          <w:rFonts w:ascii="微软雅黑" w:hAnsi="微软雅黑"/>
        </w:rPr>
        <w:t>2.2.1查看考场</w:t>
      </w:r>
      <w:bookmarkEnd w:id="20"/>
    </w:p>
    <w:p>
      <w:r>
        <w:rPr>
          <w:rFonts w:hint="eastAsia" w:ascii="微软雅黑" w:hAnsi="微软雅黑" w:cs="微软雅黑"/>
        </w:rPr>
        <w:t>笔试时支持用手机加入第一、第二机位。若考卷是PDF，则需要考生在线下作答，通过拍照形式将考卷上传至云考场；若是在线编辑（在线答题）类型，则可以直接使用手机在线作答</w:t>
      </w:r>
    </w:p>
    <w:p>
      <w:pPr>
        <w:jc w:val="both"/>
      </w:pPr>
      <w:r>
        <w:drawing>
          <wp:inline distT="0" distB="0" distL="114300" distR="114300">
            <wp:extent cx="1685290" cy="3156585"/>
            <wp:effectExtent l="0" t="0" r="10160" b="5715"/>
            <wp:docPr id="8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a</w:t>
      </w:r>
      <w:r>
        <w:rPr>
          <w:sz w:val="24"/>
        </w:rPr>
        <w:t>. 作答方式一：上传答卷</w:t>
      </w:r>
    </w:p>
    <w:p>
      <w:pPr>
        <w:ind w:left="425"/>
        <w:rPr>
          <w:rFonts w:hint="eastAsia"/>
        </w:rPr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(b)当</w:t>
      </w:r>
      <w:r>
        <w:rPr>
          <w:rFonts w:hint="eastAsia"/>
        </w:rPr>
        <w:t>考官</w:t>
      </w:r>
      <w:r>
        <w:rPr>
          <w:rFonts w:hint="eastAsia"/>
          <w:lang w:val="en-US" w:eastAsia="zh-CN"/>
        </w:rPr>
        <w:t>未下</w:t>
      </w:r>
      <w:r>
        <w:rPr>
          <w:rFonts w:hint="eastAsia"/>
        </w:rPr>
        <w:t>发</w:t>
      </w:r>
      <w:r>
        <w:rPr>
          <w:rFonts w:hint="eastAsia"/>
          <w:lang w:val="en-US" w:eastAsia="zh-CN"/>
        </w:rPr>
        <w:t>试卷</w:t>
      </w:r>
      <w:r>
        <w:rPr>
          <w:rFonts w:hint="eastAsia"/>
        </w:rPr>
        <w:t>时，考生端</w:t>
      </w:r>
      <w:r>
        <w:rPr>
          <w:rFonts w:hint="eastAsia"/>
          <w:lang w:val="en-US" w:eastAsia="zh-CN"/>
        </w:rPr>
        <w:t>一机位显示等待页面</w:t>
      </w:r>
    </w:p>
    <w:p>
      <w:pPr>
        <w:pStyle w:val="2"/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814195" cy="3270250"/>
            <wp:effectExtent l="0" t="0" r="14605" b="6350"/>
            <wp:docPr id="92" name="图片 92" descr="等待考卷下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等待考卷下发 (1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考官下发考卷后，考生可在第一机位查看考卷，并在线下作答</w:t>
      </w:r>
    </w:p>
    <w:p>
      <w:pPr>
        <w:ind w:left="425"/>
      </w:pPr>
      <w:r>
        <w:t>(c)</w:t>
      </w:r>
      <w:r>
        <w:rPr>
          <w:rFonts w:hint="eastAsia"/>
        </w:rPr>
        <w:t>作答完毕后，考生使用第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机位点击“</w:t>
      </w:r>
      <w:r>
        <w:rPr>
          <w:rFonts w:hint="eastAsia"/>
          <w:lang w:val="en-US" w:eastAsia="zh-CN"/>
        </w:rPr>
        <w:t>拍照上传</w:t>
      </w:r>
      <w:r>
        <w:rPr>
          <w:rFonts w:hint="eastAsia"/>
        </w:rPr>
        <w:t>”按钮</w:t>
      </w:r>
    </w:p>
    <w:p>
      <w:pPr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642110" cy="3258820"/>
            <wp:effectExtent l="0" t="0" r="15240" b="17780"/>
            <wp:docPr id="94" name="图片 94" descr="lQLPDhr5lY01bDPNA_jNAgCwS2u95lZRLZwBxilZ8cDTAA_512_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lQLPDhr5lY01bDPNA_jNAgCwS2u95lZRLZwBxilZ8cDTAA_512_101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拍摄答卷（最多可传9张图片）</w:t>
      </w:r>
    </w:p>
    <w:p>
      <w:pPr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537970" cy="2736215"/>
            <wp:effectExtent l="0" t="0" r="5080" b="6985"/>
            <wp:docPr id="93" name="图片 93" descr="上传答卷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上传答卷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5"/>
        <w:rPr>
          <w:rFonts w:hint="eastAsia"/>
        </w:rPr>
      </w:pPr>
      <w:r>
        <w:rPr>
          <w:rFonts w:hint="eastAsia"/>
        </w:rPr>
        <w:t>(</w:t>
      </w:r>
      <w:r>
        <w:t>e)</w:t>
      </w:r>
      <w:r>
        <w:rPr>
          <w:rFonts w:hint="eastAsia"/>
        </w:rPr>
        <w:t>上传答卷（若已上传过答卷，再次上传会覆盖原先上传的答卷照片）</w:t>
      </w:r>
    </w:p>
    <w:p>
      <w:pPr>
        <w:ind w:left="425"/>
        <w:rPr>
          <w:rFonts w:hint="default" w:eastAsia="微软雅黑"/>
          <w:lang w:val="en-US" w:eastAsia="zh-CN"/>
        </w:rPr>
      </w:pPr>
      <w:r>
        <w:rPr>
          <w:rFonts w:hint="eastAsia"/>
        </w:rPr>
        <w:t>(</w:t>
      </w:r>
      <w:r>
        <w:rPr>
          <w:rFonts w:hint="eastAsia"/>
          <w:lang w:val="en-US" w:eastAsia="zh-CN"/>
        </w:rPr>
        <w:t>f</w:t>
      </w:r>
      <w:r>
        <w:t>)</w:t>
      </w:r>
      <w:r>
        <w:rPr>
          <w:rFonts w:hint="eastAsia"/>
          <w:lang w:val="en-US" w:eastAsia="zh-CN"/>
        </w:rPr>
        <w:t>当考生确认无误后，就可以点击“交卷”按钮，交卷后会将最后一次上传的图片进行提交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1720850" cy="3067050"/>
            <wp:effectExtent l="0" t="0" r="12700" b="0"/>
            <wp:docPr id="9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5"/>
        <w:rPr>
          <w:rFonts w:hint="eastAsia"/>
          <w:lang w:val="en-US" w:eastAsia="zh-CN"/>
        </w:rPr>
      </w:pPr>
      <w:r>
        <w:rPr>
          <w:rFonts w:hint="eastAsia"/>
        </w:rPr>
        <w:t>(</w:t>
      </w:r>
      <w:r>
        <w:rPr>
          <w:rFonts w:hint="eastAsia"/>
          <w:lang w:val="en-US" w:eastAsia="zh-CN"/>
        </w:rPr>
        <w:t>g</w:t>
      </w:r>
      <w:r>
        <w:t>)</w:t>
      </w:r>
      <w:r>
        <w:rPr>
          <w:rFonts w:hint="eastAsia"/>
          <w:lang w:val="en-US" w:eastAsia="zh-CN"/>
        </w:rPr>
        <w:t>考试过程中考生可跟考官进行文字聊天</w:t>
      </w:r>
    </w:p>
    <w:p>
      <w:pPr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677035" cy="3016885"/>
            <wp:effectExtent l="0" t="0" r="18415" b="12065"/>
            <wp:docPr id="95" name="图片 95" descr="lQLPDhr5lf51HyzNA_rNAjawtr8-kwh3fXwBxioTpwDPAA_566_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lQLPDhr5lf51HyzNA_rNAjawtr8-kwh3fXwBxioTpwDPAA_566_101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b</w:t>
      </w:r>
      <w:r>
        <w:rPr>
          <w:sz w:val="24"/>
        </w:rPr>
        <w:t>. 作答方式二：在线答题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(b)当</w:t>
      </w:r>
      <w:r>
        <w:rPr>
          <w:rFonts w:hint="eastAsia"/>
        </w:rPr>
        <w:t>考官</w:t>
      </w:r>
      <w:r>
        <w:rPr>
          <w:rFonts w:hint="eastAsia"/>
          <w:lang w:val="en-US" w:eastAsia="zh-CN"/>
        </w:rPr>
        <w:t>未下</w:t>
      </w:r>
      <w:r>
        <w:rPr>
          <w:rFonts w:hint="eastAsia"/>
        </w:rPr>
        <w:t>发</w:t>
      </w:r>
      <w:r>
        <w:rPr>
          <w:rFonts w:hint="eastAsia"/>
          <w:lang w:val="en-US" w:eastAsia="zh-CN"/>
        </w:rPr>
        <w:t>试卷</w:t>
      </w:r>
      <w:r>
        <w:rPr>
          <w:rFonts w:hint="eastAsia"/>
        </w:rPr>
        <w:t>时，考生端</w:t>
      </w:r>
      <w:r>
        <w:rPr>
          <w:rFonts w:hint="eastAsia"/>
          <w:lang w:val="en-US" w:eastAsia="zh-CN"/>
        </w:rPr>
        <w:t>一机位显示等待页面</w:t>
      </w:r>
    </w:p>
    <w:p>
      <w:pPr>
        <w:pStyle w:val="2"/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814195" cy="3270250"/>
            <wp:effectExtent l="0" t="0" r="14605" b="6350"/>
            <wp:docPr id="87" name="图片 87" descr="等待考卷下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等待考卷下发 (1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当考官下发考卷时，考生端收到提示</w:t>
      </w:r>
    </w:p>
    <w:p>
      <w:pPr>
        <w:pStyle w:val="2"/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797050" cy="3240405"/>
            <wp:effectExtent l="0" t="0" r="12700" b="17145"/>
            <wp:docPr id="88" name="图片 88" descr="等待考卷下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等待考卷下发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  <w:rPr>
          <w:rFonts w:hint="default" w:eastAsia="微软雅黑"/>
          <w:lang w:val="en-US" w:eastAsia="zh-CN"/>
        </w:rPr>
      </w:pPr>
      <w:r>
        <w:rPr>
          <w:rFonts w:hint="eastAsia"/>
        </w:rPr>
        <w:t>(</w:t>
      </w:r>
      <w:r>
        <w:t>c)</w:t>
      </w:r>
      <w:r>
        <w:rPr>
          <w:rFonts w:hint="eastAsia"/>
        </w:rPr>
        <w:t>开始答题后，考生可以在第一机位上进行在线作答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若考场添加了多份试卷，则考生首先需要选择答哪份</w:t>
      </w:r>
    </w:p>
    <w:p>
      <w:pPr>
        <w:pStyle w:val="2"/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817370" cy="3854450"/>
            <wp:effectExtent l="0" t="0" r="11430" b="12700"/>
            <wp:docPr id="89" name="图片 89" descr="和考官对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和考官对话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1763395" cy="3916680"/>
            <wp:effectExtent l="0" t="0" r="8255" b="7620"/>
            <wp:docPr id="90" name="图片 90" descr="答题_单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答题_单选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  <w:rPr>
          <w:rFonts w:hint="default" w:eastAsia="微软雅黑"/>
          <w:lang w:val="en-US" w:eastAsia="zh-CN"/>
        </w:rPr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答题完成后，</w:t>
      </w:r>
      <w:r>
        <w:rPr>
          <w:rFonts w:hint="eastAsia"/>
          <w:lang w:val="en-US" w:eastAsia="zh-CN"/>
        </w:rPr>
        <w:t>需要返回试卷列表页面</w:t>
      </w:r>
      <w:r>
        <w:rPr>
          <w:rFonts w:hint="eastAsia"/>
        </w:rPr>
        <w:t>“提交答卷”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交卷后考生无法再次进入考场</w:t>
      </w:r>
    </w:p>
    <w:p>
      <w:pPr>
        <w:pStyle w:val="2"/>
        <w:jc w:val="both"/>
      </w:pPr>
      <w:r>
        <w:drawing>
          <wp:inline distT="0" distB="0" distL="114300" distR="114300">
            <wp:extent cx="1787525" cy="3729355"/>
            <wp:effectExtent l="0" t="0" r="3175" b="4445"/>
            <wp:docPr id="9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5"/>
        <w:rPr>
          <w:rFonts w:hint="default" w:eastAsia="微软雅黑"/>
          <w:lang w:val="en-US" w:eastAsia="zh-CN"/>
        </w:rPr>
      </w:pPr>
      <w:r>
        <w:rPr>
          <w:rFonts w:hint="eastAsia"/>
        </w:rPr>
        <w:t>(</w:t>
      </w:r>
      <w:r>
        <w:rPr>
          <w:rFonts w:hint="eastAsia"/>
          <w:lang w:val="en-US" w:eastAsia="zh-CN"/>
        </w:rPr>
        <w:t>e</w:t>
      </w:r>
      <w:r>
        <w:t>)</w:t>
      </w:r>
      <w:r>
        <w:rPr>
          <w:rFonts w:hint="eastAsia"/>
          <w:lang w:val="en-US" w:eastAsia="zh-CN"/>
        </w:rPr>
        <w:t>考试过程中考生可跟考官进行文字聊天</w:t>
      </w:r>
    </w:p>
    <w:p>
      <w:pPr>
        <w:pStyle w:val="3"/>
        <w:rPr>
          <w:rFonts w:hint="eastAsia" w:ascii="微软雅黑" w:hAnsi="微软雅黑" w:eastAsia="微软雅黑" w:cs="微软雅黑"/>
          <w:lang w:val="en-US" w:eastAsia="zh-CN"/>
        </w:rPr>
      </w:pPr>
      <w:bookmarkStart w:id="21" w:name="_Toc28547"/>
      <w:bookmarkStart w:id="22" w:name="_Toc14743"/>
      <w:bookmarkStart w:id="23" w:name="_Toc5453"/>
      <w:r>
        <w:rPr>
          <w:rFonts w:hint="eastAsia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.考</w:t>
      </w:r>
      <w:r>
        <w:rPr>
          <w:rFonts w:hint="eastAsia" w:ascii="微软雅黑" w:hAnsi="微软雅黑" w:eastAsia="微软雅黑" w:cs="微软雅黑"/>
          <w:lang w:val="en-US" w:eastAsia="zh-CN"/>
        </w:rPr>
        <w:t>后</w:t>
      </w:r>
      <w:bookmarkEnd w:id="21"/>
      <w:bookmarkEnd w:id="22"/>
      <w:bookmarkEnd w:id="23"/>
    </w:p>
    <w:p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bookmarkStart w:id="24" w:name="_Toc4910"/>
      <w:bookmarkStart w:id="25" w:name="_Toc31760"/>
      <w:r>
        <w:rPr>
          <w:rFonts w:hint="eastAsia" w:ascii="微软雅黑" w:hAnsi="微软雅黑" w:cs="微软雅黑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zCs w:val="24"/>
        </w:rPr>
        <w:t>.1.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互动</w:t>
      </w:r>
      <w:r>
        <w:rPr>
          <w:rFonts w:hint="eastAsia" w:ascii="微软雅黑" w:hAnsi="微软雅黑" w:eastAsia="微软雅黑" w:cs="微软雅黑"/>
          <w:sz w:val="24"/>
          <w:szCs w:val="24"/>
        </w:rPr>
        <w:t>面试</w:t>
      </w:r>
      <w:bookmarkEnd w:id="24"/>
      <w:bookmarkEnd w:id="25"/>
    </w:p>
    <w:p>
      <w:pPr>
        <w:numPr>
          <w:ilvl w:val="0"/>
          <w:numId w:val="10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考试结束时，考生的一机位和二机位都会收到结束提醒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362710" cy="2424430"/>
            <wp:effectExtent l="0" t="0" r="8890" b="13970"/>
            <wp:docPr id="54" name="图片 54" descr="主考区_考试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主考区_考试结束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614295" cy="1471930"/>
            <wp:effectExtent l="0" t="0" r="14605" b="13970"/>
            <wp:docPr id="56" name="图片 56" descr="lQLPDhr5j_pGAz3NAf7NA4qw8-iPjD8XMmUBxiA4FoDPAA_906_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lQLPDhr5j_pGAz3NAf7NA4qw8-iPjD8XMmUBxiA4FoDPAA_906_51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点击“确定”退出考场</w:t>
      </w:r>
    </w:p>
    <w:p>
      <w:pPr>
        <w:pStyle w:val="4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26" w:name="_Toc31434"/>
      <w:bookmarkStart w:id="27" w:name="_Toc12644"/>
      <w:r>
        <w:rPr>
          <w:rFonts w:hint="eastAsia" w:ascii="微软雅黑" w:hAnsi="微软雅黑" w:cs="微软雅黑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zCs w:val="24"/>
        </w:rPr>
        <w:t>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人机笔试</w:t>
      </w:r>
      <w:bookmarkEnd w:id="26"/>
      <w:bookmarkEnd w:id="27"/>
    </w:p>
    <w:p>
      <w:pPr>
        <w:numPr>
          <w:ilvl w:val="0"/>
          <w:numId w:val="11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考试结束倒计结束后，考生会收到结束提醒，点击“确定”后退出考场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492885" cy="2657475"/>
            <wp:effectExtent l="0" t="0" r="12065" b="9525"/>
            <wp:docPr id="55" name="图片 55" descr="考场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考场结束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2461260" cy="1376680"/>
            <wp:effectExtent l="0" t="0" r="15240" b="13970"/>
            <wp:docPr id="63" name="图片 63" descr="lQLPDhr5kCeSsRDNAiTNA9SwvhW1JOMZwvkBxiCBtsDUAA_980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lQLPDhr5kCeSsRDNAiTNA9SwvhW1JOMZwvkBxiCBtsDUAA_980_54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414523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B109E60"/>
    <w:multiLevelType w:val="singleLevel"/>
    <w:tmpl w:val="AB109E6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06BE3E8"/>
    <w:multiLevelType w:val="singleLevel"/>
    <w:tmpl w:val="B06BE3E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CE2281E"/>
    <w:multiLevelType w:val="multilevel"/>
    <w:tmpl w:val="BCE2281E"/>
    <w:lvl w:ilvl="0" w:tentative="0">
      <w:start w:val="1"/>
      <w:numFmt w:val="decimal"/>
      <w:pStyle w:val="22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23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24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4">
    <w:nsid w:val="BFB581F1"/>
    <w:multiLevelType w:val="singleLevel"/>
    <w:tmpl w:val="BFB581F1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D2E2F07D"/>
    <w:multiLevelType w:val="singleLevel"/>
    <w:tmpl w:val="D2E2F07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D873DB7A"/>
    <w:multiLevelType w:val="singleLevel"/>
    <w:tmpl w:val="D873DB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51540119"/>
    <w:multiLevelType w:val="singleLevel"/>
    <w:tmpl w:val="5154011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5A132B70"/>
    <w:multiLevelType w:val="singleLevel"/>
    <w:tmpl w:val="5A132B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45"/>
    <w:rsid w:val="00143F81"/>
    <w:rsid w:val="001813BE"/>
    <w:rsid w:val="0024102D"/>
    <w:rsid w:val="00452171"/>
    <w:rsid w:val="00465F7B"/>
    <w:rsid w:val="0047569E"/>
    <w:rsid w:val="00490633"/>
    <w:rsid w:val="004E2189"/>
    <w:rsid w:val="005A27C6"/>
    <w:rsid w:val="006C3109"/>
    <w:rsid w:val="00706066"/>
    <w:rsid w:val="008C447F"/>
    <w:rsid w:val="008D3393"/>
    <w:rsid w:val="009D7B32"/>
    <w:rsid w:val="00A3521C"/>
    <w:rsid w:val="00B04BDF"/>
    <w:rsid w:val="00B36A18"/>
    <w:rsid w:val="00C550B4"/>
    <w:rsid w:val="00C86AC3"/>
    <w:rsid w:val="00D727BA"/>
    <w:rsid w:val="00D72CE0"/>
    <w:rsid w:val="00E72CD4"/>
    <w:rsid w:val="00F74245"/>
    <w:rsid w:val="01CB5622"/>
    <w:rsid w:val="01D56AF5"/>
    <w:rsid w:val="030C5891"/>
    <w:rsid w:val="039742C4"/>
    <w:rsid w:val="05A85C0B"/>
    <w:rsid w:val="06714818"/>
    <w:rsid w:val="067440EB"/>
    <w:rsid w:val="07A10D99"/>
    <w:rsid w:val="08201783"/>
    <w:rsid w:val="09677C22"/>
    <w:rsid w:val="09682BC3"/>
    <w:rsid w:val="09CB7030"/>
    <w:rsid w:val="0AFB2327"/>
    <w:rsid w:val="0B473BDC"/>
    <w:rsid w:val="0B7A2A77"/>
    <w:rsid w:val="0C0F044D"/>
    <w:rsid w:val="0CD12989"/>
    <w:rsid w:val="0F416125"/>
    <w:rsid w:val="0F4B4516"/>
    <w:rsid w:val="10A31F6C"/>
    <w:rsid w:val="10D408BF"/>
    <w:rsid w:val="11BA24B2"/>
    <w:rsid w:val="12806A95"/>
    <w:rsid w:val="12E0538E"/>
    <w:rsid w:val="140E5765"/>
    <w:rsid w:val="14EA5D2D"/>
    <w:rsid w:val="15F855D9"/>
    <w:rsid w:val="16B62169"/>
    <w:rsid w:val="17D325E5"/>
    <w:rsid w:val="18B40761"/>
    <w:rsid w:val="199865C8"/>
    <w:rsid w:val="1ACB7E51"/>
    <w:rsid w:val="1B981782"/>
    <w:rsid w:val="1CCC2817"/>
    <w:rsid w:val="1CF825C0"/>
    <w:rsid w:val="1D242A76"/>
    <w:rsid w:val="1DEB231C"/>
    <w:rsid w:val="1E4E7EDF"/>
    <w:rsid w:val="1EEC1D97"/>
    <w:rsid w:val="1F0F46D2"/>
    <w:rsid w:val="1F38520E"/>
    <w:rsid w:val="20A926A5"/>
    <w:rsid w:val="20C34921"/>
    <w:rsid w:val="22153B74"/>
    <w:rsid w:val="229B65C9"/>
    <w:rsid w:val="22A04AE7"/>
    <w:rsid w:val="22B32A22"/>
    <w:rsid w:val="23926959"/>
    <w:rsid w:val="256A398E"/>
    <w:rsid w:val="27893F69"/>
    <w:rsid w:val="27C65BC2"/>
    <w:rsid w:val="28EB5CEA"/>
    <w:rsid w:val="292B3B4C"/>
    <w:rsid w:val="2953621E"/>
    <w:rsid w:val="2AE222C6"/>
    <w:rsid w:val="2B060B16"/>
    <w:rsid w:val="2C065A47"/>
    <w:rsid w:val="2D120CF2"/>
    <w:rsid w:val="31845E1F"/>
    <w:rsid w:val="32CD618E"/>
    <w:rsid w:val="35176A3E"/>
    <w:rsid w:val="35587078"/>
    <w:rsid w:val="35717C06"/>
    <w:rsid w:val="359E1A25"/>
    <w:rsid w:val="36107826"/>
    <w:rsid w:val="36F57408"/>
    <w:rsid w:val="3CD06197"/>
    <w:rsid w:val="3F041B10"/>
    <w:rsid w:val="3F4543C1"/>
    <w:rsid w:val="3FC3295E"/>
    <w:rsid w:val="40524A7F"/>
    <w:rsid w:val="41B9773F"/>
    <w:rsid w:val="42FB10FD"/>
    <w:rsid w:val="440C754F"/>
    <w:rsid w:val="444D4E57"/>
    <w:rsid w:val="445F5511"/>
    <w:rsid w:val="456A3C89"/>
    <w:rsid w:val="46CA4C5D"/>
    <w:rsid w:val="471122C1"/>
    <w:rsid w:val="474E5F32"/>
    <w:rsid w:val="4A7A1FED"/>
    <w:rsid w:val="4AA67E71"/>
    <w:rsid w:val="4AC025C8"/>
    <w:rsid w:val="4AD95612"/>
    <w:rsid w:val="4C2275E6"/>
    <w:rsid w:val="4CAF069E"/>
    <w:rsid w:val="4D371D65"/>
    <w:rsid w:val="50B54F1A"/>
    <w:rsid w:val="52C6558F"/>
    <w:rsid w:val="537B6425"/>
    <w:rsid w:val="54E167B6"/>
    <w:rsid w:val="56013AC9"/>
    <w:rsid w:val="56176EA3"/>
    <w:rsid w:val="564C50B0"/>
    <w:rsid w:val="590940DA"/>
    <w:rsid w:val="598776A8"/>
    <w:rsid w:val="5B581DA8"/>
    <w:rsid w:val="5C3E1F5A"/>
    <w:rsid w:val="5CCE1F20"/>
    <w:rsid w:val="5DBE095B"/>
    <w:rsid w:val="5DF02B69"/>
    <w:rsid w:val="5E1F292D"/>
    <w:rsid w:val="5E74086A"/>
    <w:rsid w:val="5FA21428"/>
    <w:rsid w:val="609E401A"/>
    <w:rsid w:val="60C53CA0"/>
    <w:rsid w:val="60D05AE2"/>
    <w:rsid w:val="61D038B9"/>
    <w:rsid w:val="620F25CE"/>
    <w:rsid w:val="62A43F2C"/>
    <w:rsid w:val="62E039F6"/>
    <w:rsid w:val="62E426F8"/>
    <w:rsid w:val="63973DE2"/>
    <w:rsid w:val="646D72E8"/>
    <w:rsid w:val="64A210D6"/>
    <w:rsid w:val="651545D5"/>
    <w:rsid w:val="6544541B"/>
    <w:rsid w:val="65851A14"/>
    <w:rsid w:val="658A6C71"/>
    <w:rsid w:val="65D50613"/>
    <w:rsid w:val="66064AD8"/>
    <w:rsid w:val="67113C03"/>
    <w:rsid w:val="67454C28"/>
    <w:rsid w:val="67A60686"/>
    <w:rsid w:val="681B78B9"/>
    <w:rsid w:val="68292A50"/>
    <w:rsid w:val="689F19B8"/>
    <w:rsid w:val="69427657"/>
    <w:rsid w:val="6B88063F"/>
    <w:rsid w:val="6BDC0EC1"/>
    <w:rsid w:val="6C3B4BEA"/>
    <w:rsid w:val="6C557EC0"/>
    <w:rsid w:val="6D012C1F"/>
    <w:rsid w:val="6DD42CB5"/>
    <w:rsid w:val="6E2B7F0A"/>
    <w:rsid w:val="6E683B4A"/>
    <w:rsid w:val="6E812147"/>
    <w:rsid w:val="6F6A78D8"/>
    <w:rsid w:val="6FC306B5"/>
    <w:rsid w:val="6FC46235"/>
    <w:rsid w:val="6FCA7E27"/>
    <w:rsid w:val="700E0033"/>
    <w:rsid w:val="702E61A6"/>
    <w:rsid w:val="704A24F3"/>
    <w:rsid w:val="70625F67"/>
    <w:rsid w:val="70B52DC0"/>
    <w:rsid w:val="70C40AA9"/>
    <w:rsid w:val="72336AD0"/>
    <w:rsid w:val="72350B2E"/>
    <w:rsid w:val="7565084A"/>
    <w:rsid w:val="758B63A9"/>
    <w:rsid w:val="76B128AE"/>
    <w:rsid w:val="78AB01DB"/>
    <w:rsid w:val="7B3A1014"/>
    <w:rsid w:val="7C975A81"/>
    <w:rsid w:val="7CE1364C"/>
    <w:rsid w:val="7D691C82"/>
    <w:rsid w:val="7E192902"/>
    <w:rsid w:val="7E3A3970"/>
    <w:rsid w:val="7E4B5361"/>
    <w:rsid w:val="7ECF543F"/>
    <w:rsid w:val="7EF4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0"/>
    <w:unhideWhenUsed/>
    <w:qFormat/>
    <w:uiPriority w:val="0"/>
    <w:pPr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outlineLvl w:val="3"/>
    </w:pPr>
    <w:rPr>
      <w:rFonts w:ascii="Arial" w:hAnsi="Arial"/>
      <w:sz w:val="24"/>
    </w:rPr>
  </w:style>
  <w:style w:type="paragraph" w:styleId="7">
    <w:name w:val="heading 5"/>
    <w:basedOn w:val="1"/>
    <w:next w:val="1"/>
    <w:link w:val="25"/>
    <w:semiHidden/>
    <w:unhideWhenUsed/>
    <w:qFormat/>
    <w:uiPriority w:val="0"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8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9">
    <w:name w:val="toc 3"/>
    <w:basedOn w:val="1"/>
    <w:next w:val="1"/>
    <w:qFormat/>
    <w:uiPriority w:val="39"/>
    <w:pPr>
      <w:ind w:left="840" w:leftChars="400"/>
    </w:p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Title"/>
    <w:basedOn w:val="1"/>
    <w:next w:val="1"/>
    <w:link w:val="26"/>
    <w:qFormat/>
    <w:uiPriority w:val="0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99"/>
    <w:rPr>
      <w:color w:val="0000FF"/>
      <w:u w:val="single"/>
    </w:rPr>
  </w:style>
  <w:style w:type="character" w:customStyle="1" w:styleId="19">
    <w:name w:val="标题 1 字符"/>
    <w:basedOn w:val="17"/>
    <w:link w:val="3"/>
    <w:qFormat/>
    <w:uiPriority w:val="9"/>
    <w:rPr>
      <w:rFonts w:eastAsia="微软雅黑" w:asciiTheme="minorHAnsi" w:hAnsiTheme="minorHAnsi"/>
      <w:b/>
      <w:bCs/>
      <w:kern w:val="0"/>
      <w:sz w:val="44"/>
      <w:szCs w:val="44"/>
      <w:lang w:eastAsia="en-US" w:bidi="en-US"/>
    </w:rPr>
  </w:style>
  <w:style w:type="character" w:customStyle="1" w:styleId="20">
    <w:name w:val="标题 3 字符"/>
    <w:basedOn w:val="17"/>
    <w:link w:val="5"/>
    <w:qFormat/>
    <w:uiPriority w:val="0"/>
    <w:rPr>
      <w:rFonts w:eastAsia="微软雅黑" w:asciiTheme="minorHAnsi" w:hAnsiTheme="minorHAnsi"/>
      <w:b/>
      <w:bCs/>
      <w:kern w:val="0"/>
      <w:sz w:val="28"/>
      <w:szCs w:val="32"/>
      <w:lang w:eastAsia="en-US" w:bidi="en-US"/>
    </w:rPr>
  </w:style>
  <w:style w:type="character" w:customStyle="1" w:styleId="21">
    <w:name w:val="标题 2 字符"/>
    <w:basedOn w:val="17"/>
    <w:link w:val="4"/>
    <w:qFormat/>
    <w:uiPriority w:val="0"/>
    <w:rPr>
      <w:rFonts w:eastAsia="微软雅黑" w:asciiTheme="majorHAnsi" w:hAnsiTheme="majorHAnsi" w:cstheme="majorBidi"/>
      <w:b/>
      <w:bCs/>
      <w:kern w:val="2"/>
      <w:sz w:val="32"/>
      <w:szCs w:val="32"/>
    </w:rPr>
  </w:style>
  <w:style w:type="paragraph" w:customStyle="1" w:styleId="22">
    <w:name w:val="T1"/>
    <w:basedOn w:val="1"/>
    <w:qFormat/>
    <w:uiPriority w:val="0"/>
    <w:pPr>
      <w:numPr>
        <w:ilvl w:val="0"/>
        <w:numId w:val="1"/>
      </w:numPr>
    </w:pPr>
  </w:style>
  <w:style w:type="paragraph" w:customStyle="1" w:styleId="23">
    <w:name w:val="T4"/>
    <w:basedOn w:val="1"/>
    <w:qFormat/>
    <w:uiPriority w:val="0"/>
    <w:pPr>
      <w:numPr>
        <w:ilvl w:val="3"/>
        <w:numId w:val="1"/>
      </w:numPr>
    </w:pPr>
  </w:style>
  <w:style w:type="paragraph" w:customStyle="1" w:styleId="24">
    <w:name w:val="T5"/>
    <w:basedOn w:val="1"/>
    <w:qFormat/>
    <w:uiPriority w:val="0"/>
    <w:pPr>
      <w:numPr>
        <w:ilvl w:val="4"/>
        <w:numId w:val="1"/>
      </w:numPr>
    </w:pPr>
  </w:style>
  <w:style w:type="character" w:customStyle="1" w:styleId="25">
    <w:name w:val="标题 5 字符"/>
    <w:basedOn w:val="17"/>
    <w:link w:val="7"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26">
    <w:name w:val="标题 字符"/>
    <w:basedOn w:val="17"/>
    <w:link w:val="14"/>
    <w:qFormat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paragraph" w:styleId="27">
    <w:name w:val="List Paragraph"/>
    <w:basedOn w:val="1"/>
    <w:qFormat/>
    <w:uiPriority w:val="34"/>
    <w:pPr>
      <w:jc w:val="left"/>
    </w:pPr>
    <w:rPr>
      <w:szCs w:val="22"/>
    </w:rPr>
  </w:style>
  <w:style w:type="character" w:customStyle="1" w:styleId="28">
    <w:name w:val="页眉 字符"/>
    <w:basedOn w:val="17"/>
    <w:link w:val="11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29">
    <w:name w:val="页脚 字符"/>
    <w:basedOn w:val="17"/>
    <w:link w:val="10"/>
    <w:qFormat/>
    <w:uiPriority w:val="99"/>
    <w:rPr>
      <w:rFonts w:eastAsia="微软雅黑" w:asciiTheme="minorHAnsi" w:hAnsiTheme="minorHAnsi" w:cstheme="minorBidi"/>
      <w:kern w:val="2"/>
      <w:sz w:val="18"/>
      <w:szCs w:val="18"/>
    </w:rPr>
  </w:style>
  <w:style w:type="paragraph" w:customStyle="1" w:styleId="30">
    <w:name w:val="TOC Heading"/>
    <w:basedOn w:val="3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1" Type="http://schemas.openxmlformats.org/officeDocument/2006/relationships/fontTable" Target="fontTable.xml"/><Relationship Id="rId50" Type="http://schemas.openxmlformats.org/officeDocument/2006/relationships/customXml" Target="../customXml/item2.xml"/><Relationship Id="rId5" Type="http://schemas.openxmlformats.org/officeDocument/2006/relationships/image" Target="media/image1.png"/><Relationship Id="rId49" Type="http://schemas.openxmlformats.org/officeDocument/2006/relationships/numbering" Target="numbering.xml"/><Relationship Id="rId48" Type="http://schemas.openxmlformats.org/officeDocument/2006/relationships/customXml" Target="../customXml/item1.xml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50ABD-ABAE-41E6-93CA-12A3F7C54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827</Words>
  <Characters>4720</Characters>
  <Lines>39</Lines>
  <Paragraphs>11</Paragraphs>
  <TotalTime>18</TotalTime>
  <ScaleCrop>false</ScaleCrop>
  <LinksUpToDate>false</LinksUpToDate>
  <CharactersWithSpaces>5536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2019-12-25T07:04:00Z</dcterms:created>
  <dc:creator>Administrator</dc:creator>
  <cp:lastModifiedBy>钱晨晨</cp:lastModifiedBy>
  <dcterms:modified xsi:type="dcterms:W3CDTF">2022-03-24T02:48:20Z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C5001EDF6BA14B1F9CA3480D476FB547</vt:lpwstr>
  </property>
</Properties>
</file>