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</w:pP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  <w:t>考</w:t>
      </w: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生</w:t>
      </w: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  <w:r>
        <w:rPr>
          <w:rFonts w:hint="eastAsia" w:ascii="微软雅黑" w:hAnsi="微软雅黑" w:eastAsia="微软雅黑" w:cs="微软雅黑"/>
          <w:sz w:val="84"/>
          <w:szCs w:val="84"/>
        </w:rPr>
        <w:t>使用手册</w:t>
      </w: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  <w:lang w:eastAsia="zh-CN"/>
        </w:rPr>
      </w:pPr>
      <w:r>
        <w:rPr>
          <w:rFonts w:hint="eastAsia" w:ascii="微软雅黑" w:hAnsi="微软雅黑" w:cs="微软雅黑"/>
          <w:sz w:val="84"/>
          <w:szCs w:val="84"/>
          <w:lang w:eastAsia="zh-CN"/>
        </w:rPr>
        <w:t>（</w:t>
      </w: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网页及客户端</w:t>
      </w:r>
      <w:r>
        <w:rPr>
          <w:rFonts w:hint="eastAsia" w:ascii="微软雅黑" w:hAnsi="微软雅黑" w:cs="微软雅黑"/>
          <w:sz w:val="84"/>
          <w:szCs w:val="84"/>
          <w:lang w:eastAsia="zh-CN"/>
        </w:rPr>
        <w:t>）</w:t>
      </w: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</w:p>
    <w:p>
      <w:pPr>
        <w:pStyle w:val="2"/>
        <w:jc w:val="center"/>
        <w:rPr>
          <w:rFonts w:hint="eastAsia" w:ascii="微软雅黑" w:hAnsi="微软雅黑" w:eastAsia="微软雅黑" w:cs="微软雅黑"/>
          <w:sz w:val="84"/>
          <w:szCs w:val="84"/>
        </w:rPr>
      </w:pPr>
    </w:p>
    <w:p>
      <w:pPr>
        <w:pStyle w:val="2"/>
        <w:rPr>
          <w:rFonts w:hint="eastAsia" w:ascii="微软雅黑" w:hAnsi="微软雅黑" w:eastAsia="微软雅黑" w:cs="微软雅黑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0"/>
        <w:gridCol w:w="3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pStyle w:val="2"/>
              <w:jc w:val="center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版本号：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3560" w:type="dxa"/>
          </w:tcPr>
          <w:p>
            <w:pPr>
              <w:pStyle w:val="2"/>
              <w:jc w:val="center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2021-12-1</w:t>
            </w:r>
            <w:r>
              <w:rPr>
                <w:rFonts w:hint="eastAsia" w:ascii="微软雅黑" w:hAnsi="微软雅黑" w:cs="微软雅黑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560" w:type="dxa"/>
          </w:tcPr>
          <w:p>
            <w:pPr>
              <w:pStyle w:val="2"/>
              <w:jc w:val="center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建立初版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4115"/>
        <w15:color w:val="DBDBDB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kern w:val="2"/>
          <w:sz w:val="21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9"/>
            <w:tabs>
              <w:tab w:val="right" w:leader="dot" w:pos="1046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_Toc11051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_Toc11051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_Toc4385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1.1注意事项</w:t>
          </w:r>
          <w:r>
            <w:tab/>
          </w:r>
          <w:r>
            <w:fldChar w:fldCharType="begin"/>
          </w:r>
          <w:r>
            <w:instrText xml:space="preserve"> PAGEREF _Toc4385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_Toc10539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_Toc10539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_Toc22461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1.3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查看学校公告</w:t>
          </w:r>
          <w:r>
            <w:tab/>
          </w:r>
          <w:r>
            <w:fldChar w:fldCharType="begin"/>
          </w:r>
          <w:r>
            <w:instrText xml:space="preserve"> PAGEREF _Toc22461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_Toc10916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4切换学院</w:t>
          </w:r>
          <w:r>
            <w:tab/>
          </w:r>
          <w:r>
            <w:fldChar w:fldCharType="begin"/>
          </w:r>
          <w:r>
            <w:instrText xml:space="preserve"> PAGEREF _Toc10916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_Toc3592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5</w:t>
          </w:r>
          <w:r>
            <w:rPr>
              <w:rFonts w:hint="eastAsia" w:ascii="微软雅黑" w:hAnsi="微软雅黑" w:eastAsia="微软雅黑" w:cs="微软雅黑"/>
            </w:rPr>
            <w:t>选择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考试</w:t>
          </w:r>
          <w:r>
            <w:rPr>
              <w:rFonts w:hint="eastAsia" w:ascii="微软雅黑" w:hAnsi="微软雅黑" w:eastAsia="微软雅黑" w:cs="微软雅黑"/>
            </w:rPr>
            <w:t>业务</w:t>
          </w:r>
          <w:r>
            <w:tab/>
          </w:r>
          <w:r>
            <w:fldChar w:fldCharType="begin"/>
          </w:r>
          <w:r>
            <w:instrText xml:space="preserve"> PAGEREF _Toc3592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_Toc10179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6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进入业务</w:t>
          </w:r>
          <w:r>
            <w:rPr>
              <w:rFonts w:hint="eastAsia" w:ascii="微软雅黑" w:hAnsi="微软雅黑" w:cs="微软雅黑"/>
              <w:lang w:val="en-US" w:eastAsia="zh-CN"/>
            </w:rPr>
            <w:t>上传附件</w:t>
          </w:r>
          <w:r>
            <w:tab/>
          </w:r>
          <w:r>
            <w:fldChar w:fldCharType="begin"/>
          </w:r>
          <w:r>
            <w:instrText xml:space="preserve"> PAGEREF _Toc10179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_Toc17998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7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进入业务查看学院公告</w:t>
          </w:r>
          <w:r>
            <w:tab/>
          </w:r>
          <w:r>
            <w:fldChar w:fldCharType="begin"/>
          </w:r>
          <w:r>
            <w:instrText xml:space="preserve"> PAGEREF _Toc17998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_Toc16684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8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进入业务查看考场</w:t>
          </w:r>
          <w:r>
            <w:tab/>
          </w:r>
          <w:r>
            <w:fldChar w:fldCharType="begin"/>
          </w:r>
          <w:r>
            <w:instrText xml:space="preserve"> PAGEREF _Toc16684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_Toc16386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_Toc16386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_Toc23649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2.1.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互动</w:t>
          </w:r>
          <w:r>
            <w:rPr>
              <w:rFonts w:hint="eastAsia" w:ascii="微软雅黑" w:hAnsi="微软雅黑" w:eastAsia="微软雅黑" w:cs="微软雅黑"/>
              <w:szCs w:val="24"/>
            </w:rPr>
            <w:t>面试</w:t>
          </w:r>
          <w:r>
            <w:tab/>
          </w:r>
          <w:r>
            <w:fldChar w:fldCharType="begin"/>
          </w:r>
          <w:r>
            <w:instrText xml:space="preserve"> PAGEREF _Toc23649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_Toc18196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2.1.1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/>
            </w:rPr>
            <w:t>签署考试承诺书</w:t>
          </w:r>
          <w:r>
            <w:tab/>
          </w:r>
          <w:r>
            <w:fldChar w:fldCharType="begin"/>
          </w:r>
          <w:r>
            <w:instrText xml:space="preserve"> PAGEREF _Toc18196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_Toc26681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2.1.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2人脸识别</w:t>
          </w:r>
          <w:r>
            <w:tab/>
          </w:r>
          <w:r>
            <w:fldChar w:fldCharType="begin"/>
          </w:r>
          <w:r>
            <w:instrText xml:space="preserve"> PAGEREF _Toc26681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_Toc16127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2.1.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3候考区</w:t>
          </w:r>
          <w:r>
            <w:tab/>
          </w:r>
          <w:r>
            <w:fldChar w:fldCharType="begin"/>
          </w:r>
          <w:r>
            <w:instrText xml:space="preserve"> PAGEREF _Toc16127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_Toc12865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2.1.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4主考区</w:t>
          </w:r>
          <w:r>
            <w:tab/>
          </w:r>
          <w:r>
            <w:fldChar w:fldCharType="begin"/>
          </w:r>
          <w:r>
            <w:instrText xml:space="preserve"> PAGEREF _Toc12865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_Toc16173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2.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4"/>
            </w:rPr>
            <w:t>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人机笔试</w:t>
          </w:r>
          <w:r>
            <w:tab/>
          </w:r>
          <w:r>
            <w:fldChar w:fldCharType="begin"/>
          </w:r>
          <w:r>
            <w:instrText xml:space="preserve"> PAGEREF _Toc16173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_Toc15361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1"/>
            </w:rPr>
            <w:t>.1</w:t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/>
            </w:rPr>
            <w:t>签署考试承诺书</w:t>
          </w:r>
          <w:r>
            <w:tab/>
          </w:r>
          <w:r>
            <w:fldChar w:fldCharType="begin"/>
          </w:r>
          <w:r>
            <w:instrText xml:space="preserve"> PAGEREF _Toc15361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_Toc5035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2人脸识别</w:t>
          </w:r>
          <w:r>
            <w:tab/>
          </w:r>
          <w:r>
            <w:fldChar w:fldCharType="begin"/>
          </w:r>
          <w:r>
            <w:instrText xml:space="preserve"> PAGEREF _Toc5035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_Toc14194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3等待下发考卷</w:t>
          </w:r>
          <w:r>
            <w:tab/>
          </w:r>
          <w:r>
            <w:fldChar w:fldCharType="begin"/>
          </w:r>
          <w:r>
            <w:instrText xml:space="preserve"> PAGEREF _Toc14194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_Toc19515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4开始作答</w:t>
          </w:r>
          <w:r>
            <w:tab/>
          </w:r>
          <w:r>
            <w:fldChar w:fldCharType="begin"/>
          </w:r>
          <w:r>
            <w:instrText xml:space="preserve"> PAGEREF _Toc19515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_Toc19506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5提交答卷</w:t>
          </w:r>
          <w:r>
            <w:tab/>
          </w:r>
          <w:r>
            <w:fldChar w:fldCharType="begin"/>
          </w:r>
          <w:r>
            <w:instrText xml:space="preserve"> PAGEREF _Toc19506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_Toc5453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</w:rPr>
            <w:t>.考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后</w:t>
          </w:r>
          <w:r>
            <w:tab/>
          </w:r>
          <w:r>
            <w:fldChar w:fldCharType="begin"/>
          </w:r>
          <w:r>
            <w:instrText xml:space="preserve"> PAGEREF _Toc5453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_Toc4910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  <w:szCs w:val="24"/>
            </w:rPr>
            <w:t>.1.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互动</w:t>
          </w:r>
          <w:r>
            <w:rPr>
              <w:rFonts w:hint="eastAsia" w:ascii="微软雅黑" w:hAnsi="微软雅黑" w:eastAsia="微软雅黑" w:cs="微软雅黑"/>
              <w:szCs w:val="24"/>
            </w:rPr>
            <w:t>面试</w:t>
          </w:r>
          <w:r>
            <w:tab/>
          </w:r>
          <w:r>
            <w:fldChar w:fldCharType="begin"/>
          </w:r>
          <w:r>
            <w:instrText xml:space="preserve"> PAGEREF _Toc4910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_Toc12644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  <w:szCs w:val="24"/>
            </w:rPr>
            <w:t>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  <w:szCs w:val="24"/>
            </w:rPr>
            <w:t>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人机笔试</w:t>
          </w:r>
          <w:r>
            <w:tab/>
          </w:r>
          <w:r>
            <w:fldChar w:fldCharType="begin"/>
          </w:r>
          <w:r>
            <w:instrText xml:space="preserve"> PAGEREF _Toc12644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2"/>
          </w:pPr>
          <w:r>
            <w:fldChar w:fldCharType="end"/>
          </w:r>
        </w:p>
      </w:sdtContent>
    </w:sdt>
    <w:p>
      <w:pPr>
        <w:pStyle w:val="3"/>
        <w:rPr>
          <w:rFonts w:hint="eastAsia" w:ascii="微软雅黑" w:hAnsi="微软雅黑" w:eastAsia="微软雅黑" w:cs="微软雅黑"/>
        </w:rPr>
      </w:pPr>
      <w:bookmarkStart w:id="0" w:name="_Toc31267"/>
      <w:bookmarkStart w:id="1" w:name="_Toc11051"/>
      <w:r>
        <w:rPr>
          <w:rFonts w:hint="eastAsia" w:ascii="微软雅黑" w:hAnsi="微软雅黑" w:eastAsia="微软雅黑" w:cs="微软雅黑"/>
        </w:rPr>
        <w:t>1.考前</w:t>
      </w:r>
      <w:bookmarkEnd w:id="0"/>
      <w:bookmarkEnd w:id="1"/>
    </w:p>
    <w:p>
      <w:pPr>
        <w:pStyle w:val="4"/>
        <w:rPr>
          <w:rFonts w:hint="eastAsia" w:ascii="微软雅黑" w:hAnsi="微软雅黑" w:eastAsia="微软雅黑" w:cs="微软雅黑"/>
        </w:rPr>
      </w:pPr>
      <w:bookmarkStart w:id="2" w:name="_Toc11754"/>
      <w:bookmarkStart w:id="3" w:name="_Toc4385"/>
      <w:r>
        <w:rPr>
          <w:rFonts w:hint="eastAsia" w:ascii="微软雅黑" w:hAnsi="微软雅黑" w:eastAsia="微软雅黑" w:cs="微软雅黑"/>
        </w:rPr>
        <w:t>1.1注意事项</w:t>
      </w:r>
      <w:bookmarkEnd w:id="2"/>
      <w:bookmarkEnd w:id="3"/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考</w:t>
      </w:r>
      <w:r>
        <w:rPr>
          <w:rFonts w:hint="eastAsia" w:ascii="微软雅黑" w:hAnsi="微软雅黑" w:cs="微软雅黑"/>
          <w:lang w:val="en-US" w:eastAsia="zh-CN"/>
        </w:rPr>
        <w:t>生</w:t>
      </w:r>
      <w:r>
        <w:rPr>
          <w:rFonts w:hint="eastAsia" w:ascii="微软雅黑" w:hAnsi="微软雅黑" w:eastAsia="微软雅黑" w:cs="微软雅黑"/>
        </w:rPr>
        <w:t>支持使用web或客户端进行</w:t>
      </w:r>
      <w:r>
        <w:rPr>
          <w:rFonts w:hint="eastAsia" w:ascii="微软雅黑" w:hAnsi="微软雅黑" w:cs="微软雅黑"/>
          <w:lang w:val="en-US" w:eastAsia="zh-CN"/>
        </w:rPr>
        <w:t>面试和</w:t>
      </w:r>
      <w:r>
        <w:rPr>
          <w:rFonts w:hint="eastAsia" w:ascii="微软雅黑" w:hAnsi="微软雅黑" w:eastAsia="微软雅黑" w:cs="微软雅黑"/>
        </w:rPr>
        <w:t>笔试（功能相同，本说明以web端为例）</w:t>
      </w:r>
    </w:p>
    <w:p>
      <w:pPr>
        <w:pStyle w:val="5"/>
        <w:bidi w:val="0"/>
        <w:rPr>
          <w:rFonts w:hint="eastAsia"/>
        </w:rPr>
      </w:pPr>
      <w:r>
        <w:rPr>
          <w:rFonts w:hint="eastAsia"/>
          <w:lang w:val="en-US" w:eastAsia="zh-CN"/>
        </w:rPr>
        <w:t>1.1.1、</w:t>
      </w:r>
      <w:r>
        <w:rPr>
          <w:rFonts w:hint="eastAsia"/>
        </w:rPr>
        <w:t>下载客户端注意事项：</w:t>
      </w:r>
    </w:p>
    <w:p>
      <w:pPr>
        <w:pStyle w:val="14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Windows操作系统初次使用客户端时安全软件可能会弹出提示，点击“允许”即可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42560" cy="3718560"/>
            <wp:effectExtent l="0" t="0" r="15240" b="15240"/>
            <wp:docPr id="14" name="图片 1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Mac系统初次使用客户端时可能会提示“来自身份不明的开发者”，请根据提示进行操作</w:t>
      </w:r>
    </w:p>
    <w:p>
      <w:pPr>
        <w:numPr>
          <w:ilvl w:val="0"/>
          <w:numId w:val="2"/>
        </w:numPr>
        <w:ind w:left="420" w:leftChars="0"/>
        <w:jc w:val="left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点击“好”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0500" cy="2517775"/>
            <wp:effectExtent l="0" t="0" r="6350" b="158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0" w:leftChars="0" w:firstLine="0" w:firstLineChars="0"/>
        <w:jc w:val="left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 打开系统设置偏好中的“安全与隐私”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675" cy="4224655"/>
            <wp:effectExtent l="0" t="0" r="317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0" w:leftChars="0" w:firstLine="0" w:firstLineChars="0"/>
        <w:jc w:val="left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选择“仍要打开”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6690" cy="3831590"/>
            <wp:effectExtent l="0" t="0" r="1016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1.1.2 Mac电脑检查权限是否开启：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若使用Mac电脑参加考试时若出现音视频问题或无法共享屏幕，请在“安全性与隐私”中检查是否为云考AI开启摄像头、麦克风及屏幕录制权限</w:t>
      </w:r>
    </w:p>
    <w:p>
      <w:pPr>
        <w:pStyle w:val="2"/>
      </w:pPr>
      <w:r>
        <w:drawing>
          <wp:inline distT="0" distB="0" distL="114300" distR="114300">
            <wp:extent cx="3270885" cy="2874010"/>
            <wp:effectExtent l="0" t="0" r="5715" b="2540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08350" cy="2889250"/>
            <wp:effectExtent l="0" t="0" r="6350" b="6350"/>
            <wp:docPr id="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drawing>
          <wp:inline distT="0" distB="0" distL="114300" distR="114300">
            <wp:extent cx="3251200" cy="2847340"/>
            <wp:effectExtent l="0" t="0" r="6350" b="10160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微软雅黑" w:hAnsi="微软雅黑" w:eastAsia="微软雅黑" w:cs="微软雅黑"/>
        </w:rPr>
      </w:pPr>
      <w:bookmarkStart w:id="4" w:name="_Toc10539"/>
      <w:bookmarkStart w:id="5" w:name="_Toc25456"/>
      <w:r>
        <w:rPr>
          <w:rFonts w:hint="eastAsia" w:ascii="微软雅黑" w:hAnsi="微软雅黑" w:eastAsia="微软雅黑" w:cs="微软雅黑"/>
        </w:rPr>
        <w:t>1.2登录</w:t>
      </w:r>
      <w:bookmarkEnd w:id="4"/>
      <w:bookmarkEnd w:id="5"/>
    </w:p>
    <w:p>
      <w:pPr>
        <w:numPr>
          <w:ilvl w:val="0"/>
          <w:numId w:val="3"/>
        </w:numPr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打开“</w:t>
      </w:r>
      <w:r>
        <w:rPr>
          <w:rFonts w:hint="eastAsia" w:ascii="微软雅黑" w:hAnsi="微软雅黑" w:cs="微软雅黑"/>
          <w:lang w:eastAsia="zh-CN"/>
        </w:rPr>
        <w:t>云考AI</w:t>
      </w:r>
      <w:r>
        <w:rPr>
          <w:rFonts w:hint="eastAsia" w:ascii="微软雅黑" w:hAnsi="微软雅黑" w:eastAsia="微软雅黑" w:cs="微软雅黑"/>
          <w:lang w:val="en-US" w:eastAsia="zh-CN"/>
        </w:rPr>
        <w:t>考生考官登录</w:t>
      </w:r>
      <w:r>
        <w:rPr>
          <w:rFonts w:hint="eastAsia" w:ascii="微软雅黑" w:hAnsi="微软雅黑" w:eastAsia="微软雅黑" w:cs="微软雅黑"/>
        </w:rPr>
        <w:t>”链接</w:t>
      </w:r>
    </w:p>
    <w:p>
      <w:pPr>
        <w:numPr>
          <w:ilvl w:val="0"/>
          <w:numId w:val="3"/>
        </w:numPr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选择角色：我是</w:t>
      </w:r>
      <w:r>
        <w:rPr>
          <w:rFonts w:hint="eastAsia" w:ascii="微软雅黑" w:hAnsi="微软雅黑" w:cs="微软雅黑"/>
          <w:lang w:val="en-US" w:eastAsia="zh-CN"/>
        </w:rPr>
        <w:t>考生</w:t>
      </w:r>
    </w:p>
    <w:p>
      <w:pPr>
        <w:numPr>
          <w:ilvl w:val="0"/>
          <w:numId w:val="3"/>
        </w:numPr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输入手机号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短信验证码</w:t>
      </w:r>
      <w:r>
        <w:rPr>
          <w:rFonts w:hint="eastAsia" w:ascii="微软雅黑" w:hAnsi="微软雅黑" w:eastAsia="微软雅黑" w:cs="微软雅黑"/>
          <w:lang w:val="en-US" w:eastAsia="zh-CN"/>
        </w:rPr>
        <w:t>进行登录</w:t>
      </w:r>
    </w:p>
    <w:p>
      <w:pPr>
        <w:pStyle w:val="2"/>
        <w:rPr>
          <w:rFonts w:hint="eastAsia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outlineLvl w:val="9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若该考</w:t>
      </w:r>
      <w:r>
        <w:rPr>
          <w:rFonts w:hint="eastAsia" w:ascii="微软雅黑" w:hAnsi="微软雅黑" w:cs="微软雅黑"/>
          <w:lang w:val="en-US" w:eastAsia="zh-CN"/>
        </w:rPr>
        <w:t>生</w:t>
      </w:r>
      <w:r>
        <w:rPr>
          <w:rFonts w:hint="eastAsia" w:ascii="微软雅黑" w:hAnsi="微软雅黑" w:eastAsia="微软雅黑" w:cs="微软雅黑"/>
          <w:lang w:val="en-US" w:eastAsia="zh-CN"/>
        </w:rPr>
        <w:t>账号存在于多个学院，登录后可选择优先展示考试数据的学院，并可任意切换</w:t>
      </w:r>
    </w:p>
    <w:p>
      <w:pPr>
        <w:pStyle w:val="4"/>
        <w:rPr>
          <w:rFonts w:hint="eastAsia" w:ascii="微软雅黑" w:hAnsi="微软雅黑" w:eastAsia="微软雅黑" w:cs="微软雅黑"/>
          <w:lang w:val="en-US" w:eastAsia="zh-CN"/>
        </w:rPr>
      </w:pPr>
      <w:bookmarkStart w:id="6" w:name="_Toc22461"/>
      <w:bookmarkStart w:id="7" w:name="_Toc11772"/>
      <w:r>
        <w:rPr>
          <w:rFonts w:hint="eastAsia" w:ascii="微软雅黑" w:hAnsi="微软雅黑" w:eastAsia="微软雅黑" w:cs="微软雅黑"/>
        </w:rPr>
        <w:t>1.3</w:t>
      </w:r>
      <w:r>
        <w:rPr>
          <w:rFonts w:hint="eastAsia" w:ascii="微软雅黑" w:hAnsi="微软雅黑" w:eastAsia="微软雅黑" w:cs="微软雅黑"/>
          <w:lang w:val="en-US" w:eastAsia="zh-CN"/>
        </w:rPr>
        <w:t>查看学校公告</w:t>
      </w:r>
      <w:bookmarkEnd w:id="6"/>
      <w:bookmarkEnd w:id="7"/>
    </w:p>
    <w:p>
      <w:p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lang w:val="en-US" w:eastAsia="zh-CN"/>
        </w:rPr>
        <w:t>可以查看学校公告，点击“查看</w:t>
      </w:r>
      <w:r>
        <w:rPr>
          <w:rFonts w:hint="eastAsia" w:ascii="微软雅黑" w:hAnsi="微软雅黑" w:cs="微软雅黑"/>
          <w:lang w:val="en-US" w:eastAsia="zh-CN"/>
        </w:rPr>
        <w:t>全部</w:t>
      </w:r>
      <w:r>
        <w:rPr>
          <w:rFonts w:hint="eastAsia" w:ascii="微软雅黑" w:hAnsi="微软雅黑" w:eastAsia="微软雅黑" w:cs="微软雅黑"/>
          <w:lang w:val="en-US" w:eastAsia="zh-CN"/>
        </w:rPr>
        <w:t>”查看详细</w:t>
      </w:r>
      <w:r>
        <w:rPr>
          <w:rFonts w:hint="eastAsia" w:ascii="微软雅黑" w:hAnsi="微软雅黑" w:cs="微软雅黑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学校公告内容</w:t>
      </w:r>
    </w:p>
    <w:p>
      <w:pPr>
        <w:pStyle w:val="2"/>
        <w:rPr>
          <w:rFonts w:hint="eastAsia" w:ascii="微软雅黑" w:hAnsi="微软雅黑" w:eastAsia="微软雅黑" w:cs="微软雅黑"/>
          <w:lang w:eastAsia="zh-CN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 w:ascii="微软雅黑" w:hAnsi="微软雅黑" w:eastAsia="微软雅黑" w:cs="微软雅黑"/>
          <w:lang w:val="en-US" w:eastAsia="zh-CN"/>
        </w:rPr>
      </w:pPr>
      <w:bookmarkStart w:id="8" w:name="_Toc10916"/>
      <w:bookmarkStart w:id="9" w:name="_Toc13298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4切换学院</w:t>
      </w:r>
      <w:bookmarkEnd w:id="8"/>
    </w:p>
    <w:p>
      <w:pPr>
        <w:rPr>
          <w:rFonts w:hint="eastAsia"/>
        </w:rPr>
      </w:pPr>
      <w:r>
        <w:rPr>
          <w:rFonts w:hint="eastAsia"/>
        </w:rPr>
        <w:t>若考生报考了多个学院，则学院可以进行切换，默认展示第一个学院的业务</w:t>
      </w:r>
    </w:p>
    <w:p>
      <w:pPr>
        <w:pStyle w:val="2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微软雅黑" w:hAnsi="微软雅黑" w:eastAsia="微软雅黑" w:cs="微软雅黑"/>
        </w:rPr>
      </w:pPr>
      <w:bookmarkStart w:id="10" w:name="_Toc3592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</w:rPr>
        <w:t>选择</w:t>
      </w:r>
      <w:r>
        <w:rPr>
          <w:rFonts w:hint="eastAsia" w:ascii="微软雅黑" w:hAnsi="微软雅黑" w:eastAsia="微软雅黑" w:cs="微软雅黑"/>
          <w:lang w:val="en-US" w:eastAsia="zh-CN"/>
        </w:rPr>
        <w:t>考试</w:t>
      </w:r>
      <w:r>
        <w:rPr>
          <w:rFonts w:hint="eastAsia" w:ascii="微软雅黑" w:hAnsi="微软雅黑" w:eastAsia="微软雅黑" w:cs="微软雅黑"/>
        </w:rPr>
        <w:t>业务</w:t>
      </w:r>
      <w:bookmarkEnd w:id="9"/>
      <w:bookmarkEnd w:id="10"/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显示该考</w:t>
      </w:r>
      <w:r>
        <w:rPr>
          <w:rFonts w:hint="eastAsia" w:ascii="微软雅黑" w:hAnsi="微软雅黑" w:cs="微软雅黑"/>
          <w:lang w:val="en-US" w:eastAsia="zh-CN"/>
        </w:rPr>
        <w:t>生</w:t>
      </w:r>
      <w:r>
        <w:rPr>
          <w:rFonts w:hint="eastAsia" w:ascii="微软雅黑" w:hAnsi="微软雅黑" w:eastAsia="微软雅黑" w:cs="微软雅黑"/>
          <w:lang w:val="en-US" w:eastAsia="zh-CN"/>
        </w:rPr>
        <w:t>所在的考试</w:t>
      </w:r>
      <w:r>
        <w:rPr>
          <w:rFonts w:hint="eastAsia" w:ascii="微软雅黑" w:hAnsi="微软雅黑" w:eastAsia="微软雅黑" w:cs="微软雅黑"/>
        </w:rPr>
        <w:t>业务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分为正式考试业务和模拟考试业务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可</w:t>
      </w:r>
      <w:r>
        <w:rPr>
          <w:rFonts w:hint="eastAsia" w:ascii="微软雅黑" w:hAnsi="微软雅黑" w:eastAsia="微软雅黑" w:cs="微软雅黑"/>
        </w:rPr>
        <w:t>选择进入</w:t>
      </w:r>
      <w:r>
        <w:rPr>
          <w:rFonts w:hint="eastAsia" w:ascii="微软雅黑" w:hAnsi="微软雅黑" w:eastAsia="微软雅黑" w:cs="微软雅黑"/>
          <w:lang w:val="en-US" w:eastAsia="zh-CN"/>
        </w:rPr>
        <w:t>某</w:t>
      </w:r>
      <w:r>
        <w:rPr>
          <w:rFonts w:hint="eastAsia" w:ascii="微软雅黑" w:hAnsi="微软雅黑" w:eastAsia="微软雅黑" w:cs="微软雅黑"/>
        </w:rPr>
        <w:t>个业务</w:t>
      </w:r>
      <w:r>
        <w:rPr>
          <w:rFonts w:hint="eastAsia" w:ascii="微软雅黑" w:hAnsi="微软雅黑" w:eastAsia="微软雅黑" w:cs="微软雅黑"/>
          <w:lang w:val="en-US" w:eastAsia="zh-CN"/>
        </w:rPr>
        <w:t>查看考场</w:t>
      </w:r>
    </w:p>
    <w:p>
      <w:pPr>
        <w:pStyle w:val="2"/>
        <w:rPr>
          <w:rFonts w:hint="eastAsia" w:ascii="微软雅黑" w:hAnsi="微软雅黑" w:eastAsia="微软雅黑" w:cs="微软雅黑"/>
          <w:lang w:eastAsia="zh-CN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 w:ascii="微软雅黑" w:hAnsi="微软雅黑" w:eastAsia="微软雅黑" w:cs="微软雅黑"/>
          <w:lang w:val="en-US"/>
        </w:rPr>
      </w:pPr>
      <w:bookmarkStart w:id="11" w:name="_Toc10179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lang w:val="en-US" w:eastAsia="zh-CN"/>
        </w:rPr>
        <w:t>进入业务</w:t>
      </w:r>
      <w:r>
        <w:rPr>
          <w:rFonts w:hint="eastAsia" w:ascii="微软雅黑" w:hAnsi="微软雅黑" w:cs="微软雅黑"/>
          <w:lang w:val="en-US" w:eastAsia="zh-CN"/>
        </w:rPr>
        <w:t>上传附件</w:t>
      </w:r>
      <w:bookmarkEnd w:id="11"/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进入业务</w:t>
      </w:r>
      <w:r>
        <w:rPr>
          <w:rFonts w:hint="eastAsia" w:ascii="微软雅黑" w:hAnsi="微软雅黑" w:eastAsia="微软雅黑" w:cs="微软雅黑"/>
          <w:lang w:val="en-US" w:eastAsia="zh-CN"/>
        </w:rPr>
        <w:t>后，考生可以上传并提交考生信息以供审核</w:t>
      </w:r>
    </w:p>
    <w:p>
      <w:pPr>
        <w:pStyle w:val="2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638290" cy="4900295"/>
            <wp:effectExtent l="0" t="0" r="10160" b="14605"/>
            <wp:docPr id="12" name="图片 12" descr="考生_进入业务_上传附件(未提交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考生_进入业务_上传附件(未提交)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点击“</w:t>
      </w:r>
      <w:r>
        <w:rPr>
          <w:rFonts w:hint="eastAsia" w:ascii="微软雅黑" w:hAnsi="微软雅黑" w:cs="微软雅黑"/>
          <w:lang w:val="en-US" w:eastAsia="zh-CN"/>
        </w:rPr>
        <w:t>上传文件</w:t>
      </w:r>
      <w:r>
        <w:rPr>
          <w:rFonts w:hint="eastAsia" w:ascii="微软雅黑" w:hAnsi="微软雅黑" w:eastAsia="微软雅黑" w:cs="微软雅黑"/>
          <w:lang w:val="en-US" w:eastAsia="zh-CN"/>
        </w:rPr>
        <w:t>”</w:t>
      </w:r>
      <w:r>
        <w:rPr>
          <w:rFonts w:hint="eastAsia" w:ascii="微软雅黑" w:hAnsi="微软雅黑" w:cs="微软雅黑"/>
          <w:lang w:val="en-US" w:eastAsia="zh-CN"/>
        </w:rPr>
        <w:t>选择学校要求的相关文件材料，最多可以上传20个文件，单个文件不可超过200M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13" name="图片 13" descr="考生_进入业务_上传附件(未提交)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考生_进入业务_上传附件(未提交)1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点击“完成”完成文件上传，文件上传状态变为“已上传，未提交”</w:t>
      </w:r>
    </w:p>
    <w:p>
      <w:pPr>
        <w:pStyle w:val="2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638290" cy="4918710"/>
            <wp:effectExtent l="0" t="0" r="10160" b="15240"/>
            <wp:docPr id="15" name="图片 15" descr="考生_进入业务_上传附件(未提交)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考生_进入业务_上传附件(未提交)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点击“提交审核”，将上传的文件提交给管理员审核。未提交审核之前可以随时删除已上传的文件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16" name="图片 16" descr="考生_进入业务_上传附件(未提交)2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考生_进入业务_上传附件(未提交)2备份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提交审核后，如果发现文件上传有误或者有缺失，可以选择撤回已上传的文件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18" name="图片 18" descr="考生_进入业务_上传附件(审核中)撤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考生_进入业务_上传附件(审核中)撤回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撤回已上传的文件时，如果管理员还未审批，可以撤回成功，附件上传状态重新变为“未提交”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900295"/>
            <wp:effectExtent l="0" t="0" r="10160" b="14605"/>
            <wp:docPr id="19" name="图片 19" descr="考生_进入业务_上传附件(未提交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考生_进入业务_上传附件(未提交)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撤回已上传的文件时，如果管理员已审批，则提示撤回失败，需要联系学校管理员进行处理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0" name="图片 20" descr="考生_进入业务_上传附件(审核中)撤回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考生_进入业务_上传附件(审核中)撤回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管理员对考生上传的相关文件进行审核，如果管理员审核通过，考生端将看到审核通过字样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799330"/>
            <wp:effectExtent l="0" t="0" r="10160" b="1270"/>
            <wp:docPr id="21" name="图片 21" descr="考生_进入业务_上传附件(已通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考生_进入业务_上传附件(已通过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管理员对考生上传的相关文件进行审核，如果管理员审核未通过，考生端将看到审核未通过字样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863465"/>
            <wp:effectExtent l="0" t="0" r="10160" b="13335"/>
            <wp:docPr id="22" name="图片 22" descr="考生_进入业务_上传附件(未通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考生_进入业务_上传附件(未通过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8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点击“查看原因”可以查看管理员审核未通过的原因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3" name="图片 23" descr="考生_进入业务_上传附件(未通过)_查看原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考生_进入业务_上传附件(未通过)_查看原因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微软雅黑" w:hAnsi="微软雅黑" w:eastAsia="微软雅黑" w:cs="微软雅黑"/>
          <w:lang w:val="en-US" w:eastAsia="zh-CN"/>
        </w:rPr>
      </w:pPr>
      <w:bookmarkStart w:id="12" w:name="_Toc17998"/>
      <w:bookmarkStart w:id="13" w:name="_Toc15476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lang w:val="en-US" w:eastAsia="zh-CN"/>
        </w:rPr>
        <w:t>进入业务查看</w:t>
      </w:r>
      <w:r>
        <w:rPr>
          <w:rFonts w:hint="eastAsia" w:ascii="微软雅黑" w:hAnsi="微软雅黑" w:cs="微软雅黑"/>
          <w:lang w:val="en-US" w:eastAsia="zh-CN"/>
        </w:rPr>
        <w:t>考试业务</w:t>
      </w:r>
      <w:r>
        <w:rPr>
          <w:rFonts w:hint="eastAsia" w:ascii="微软雅黑" w:hAnsi="微软雅黑" w:eastAsia="微软雅黑" w:cs="微软雅黑"/>
          <w:lang w:val="en-US" w:eastAsia="zh-CN"/>
        </w:rPr>
        <w:t>公告</w:t>
      </w:r>
      <w:bookmarkEnd w:id="12"/>
      <w:bookmarkEnd w:id="13"/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进入业务</w:t>
      </w:r>
      <w:r>
        <w:rPr>
          <w:rFonts w:hint="eastAsia" w:ascii="微软雅黑" w:hAnsi="微软雅黑" w:eastAsia="微软雅黑" w:cs="微软雅黑"/>
          <w:lang w:val="en-US" w:eastAsia="zh-CN"/>
        </w:rPr>
        <w:t>后可预览考试业务公告，并可点击“查看全部”查看详细公告内容</w:t>
      </w:r>
    </w:p>
    <w:p>
      <w:pPr>
        <w:pStyle w:val="2"/>
        <w:rPr>
          <w:rFonts w:hint="eastAsia"/>
          <w:lang w:val="en-US"/>
        </w:rPr>
      </w:pPr>
      <w:r>
        <w:rPr>
          <w:rFonts w:hint="eastAsia"/>
          <w:lang w:val="en-US"/>
        </w:rPr>
        <w:drawing>
          <wp:inline distT="0" distB="0" distL="114300" distR="114300">
            <wp:extent cx="6645910" cy="4897755"/>
            <wp:effectExtent l="0" t="0" r="2540" b="17145"/>
            <wp:docPr id="8" name="图片 8" descr="lQLPDhr5YJNdJZ_NBBjNBY6wZEFKiVWvcKgBxdKN3oDOAA_1422_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QLPDhr5YJNdJZ_NBBjNBY6wZEFKiVWvcKgBxdKN3oDOAA_1422_104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4" w:name="_Toc16684"/>
      <w:bookmarkStart w:id="15" w:name="_Toc12847"/>
      <w:r>
        <w:rPr>
          <w:rFonts w:hint="eastAsia" w:ascii="微软雅黑" w:hAnsi="微软雅黑" w:eastAsia="微软雅黑" w:cs="微软雅黑"/>
          <w:lang w:val="en-US" w:eastAsia="zh-CN"/>
        </w:rPr>
        <w:t>1.</w:t>
      </w:r>
      <w:r>
        <w:rPr>
          <w:rFonts w:hint="eastAsia" w:ascii="微软雅黑" w:hAnsi="微软雅黑" w:cs="微软雅黑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lang w:val="en-US" w:eastAsia="zh-CN"/>
        </w:rPr>
        <w:t>进入业务查看考场</w:t>
      </w:r>
      <w:bookmarkEnd w:id="14"/>
      <w:bookmarkEnd w:id="15"/>
    </w:p>
    <w:p>
      <w:pPr>
        <w:numPr>
          <w:ilvl w:val="0"/>
          <w:numId w:val="5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互动面试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lang w:val="en-US" w:eastAsia="zh-CN"/>
        </w:rPr>
        <w:t>可查看该考试业务中的所有考场信息，包括考场名称、考试时间、考场状态等。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900295"/>
            <wp:effectExtent l="0" t="0" r="10160" b="14605"/>
            <wp:docPr id="10" name="图片 10" descr="考生_进入业务_互动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考生_进入业务_互动面试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人机笔试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lang w:val="en-US" w:eastAsia="zh-CN"/>
        </w:rPr>
        <w:t>可查看该考试业务中的所有考场信息，包括考场名称、考试时间、考场状态、</w:t>
      </w:r>
      <w:r>
        <w:rPr>
          <w:rFonts w:hint="eastAsia" w:ascii="微软雅黑" w:hAnsi="微软雅黑" w:cs="微软雅黑"/>
          <w:lang w:val="en-US" w:eastAsia="zh-CN"/>
        </w:rPr>
        <w:t>下载答题卡</w:t>
      </w:r>
      <w:r>
        <w:rPr>
          <w:rFonts w:hint="eastAsia" w:ascii="微软雅黑" w:hAnsi="微软雅黑" w:eastAsia="微软雅黑" w:cs="微软雅黑"/>
          <w:lang w:val="en-US" w:eastAsia="zh-CN"/>
        </w:rPr>
        <w:t>等。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290" cy="4900295"/>
            <wp:effectExtent l="0" t="0" r="10160" b="14605"/>
            <wp:docPr id="11" name="图片 11" descr="考生_进入业务_人机笔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考生_进入业务_人机笔试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微软雅黑" w:hAnsi="微软雅黑" w:eastAsia="微软雅黑" w:cs="微软雅黑"/>
        </w:rPr>
      </w:pPr>
      <w:bookmarkStart w:id="16" w:name="_Toc18410"/>
      <w:bookmarkStart w:id="17" w:name="_Toc16386"/>
      <w:r>
        <w:rPr>
          <w:rFonts w:hint="eastAsia" w:ascii="微软雅黑" w:hAnsi="微软雅黑" w:eastAsia="微软雅黑" w:cs="微软雅黑"/>
        </w:rPr>
        <w:t>2.考中</w:t>
      </w:r>
      <w:bookmarkEnd w:id="16"/>
      <w:bookmarkEnd w:id="17"/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当考场开始时，</w:t>
      </w:r>
      <w:r>
        <w:rPr>
          <w:rFonts w:hint="eastAsia" w:ascii="微软雅黑" w:hAnsi="微软雅黑" w:cs="微软雅黑"/>
          <w:lang w:val="en-US" w:eastAsia="zh-CN"/>
        </w:rPr>
        <w:t>考生</w:t>
      </w:r>
      <w:r>
        <w:rPr>
          <w:rFonts w:hint="eastAsia" w:ascii="微软雅黑" w:hAnsi="微软雅黑" w:eastAsia="微软雅黑" w:cs="微软雅黑"/>
          <w:lang w:val="en-US" w:eastAsia="zh-CN"/>
        </w:rPr>
        <w:t>就可以进入</w:t>
      </w:r>
      <w:r>
        <w:rPr>
          <w:rFonts w:hint="eastAsia" w:ascii="微软雅黑" w:hAnsi="微软雅黑" w:eastAsia="微软雅黑" w:cs="微软雅黑"/>
        </w:rPr>
        <w:t>考场</w:t>
      </w:r>
      <w:r>
        <w:rPr>
          <w:rFonts w:hint="eastAsia" w:ascii="微软雅黑" w:hAnsi="微软雅黑" w:eastAsia="微软雅黑" w:cs="微软雅黑"/>
          <w:lang w:val="en-US" w:eastAsia="zh-CN"/>
        </w:rPr>
        <w:t>进行线上考试</w:t>
      </w:r>
    </w:p>
    <w:p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bookmarkStart w:id="18" w:name="_Toc23649"/>
      <w:bookmarkStart w:id="19" w:name="_Toc29670"/>
      <w:r>
        <w:rPr>
          <w:rFonts w:hint="eastAsia" w:ascii="微软雅黑" w:hAnsi="微软雅黑" w:eastAsia="微软雅黑" w:cs="微软雅黑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互动</w:t>
      </w:r>
      <w:r>
        <w:rPr>
          <w:rFonts w:hint="eastAsia" w:ascii="微软雅黑" w:hAnsi="微软雅黑" w:eastAsia="微软雅黑" w:cs="微软雅黑"/>
          <w:sz w:val="24"/>
          <w:szCs w:val="24"/>
        </w:rPr>
        <w:t>面试</w:t>
      </w:r>
      <w:bookmarkEnd w:id="18"/>
      <w:bookmarkEnd w:id="19"/>
    </w:p>
    <w:p>
      <w:pPr>
        <w:pStyle w:val="5"/>
        <w:rPr>
          <w:rFonts w:hint="eastAsia"/>
        </w:rPr>
      </w:pPr>
      <w:bookmarkStart w:id="20" w:name="_Toc29339"/>
      <w:bookmarkStart w:id="21" w:name="_Toc18196"/>
      <w:r>
        <w:rPr>
          <w:rFonts w:hint="eastAsia" w:ascii="微软雅黑" w:hAnsi="微软雅黑" w:eastAsia="微软雅黑" w:cs="微软雅黑"/>
          <w:sz w:val="21"/>
          <w:szCs w:val="21"/>
        </w:rPr>
        <w:t>2.1.1</w:t>
      </w:r>
      <w:bookmarkEnd w:id="20"/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签署考试承诺书</w:t>
      </w:r>
      <w:bookmarkEnd w:id="21"/>
    </w:p>
    <w:p>
      <w:pPr>
        <w:numPr>
          <w:ilvl w:val="0"/>
          <w:numId w:val="6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点击“进入考场”，若该业务已开启考试承诺书功能，则考生在进入考场前需要同意考试承诺书的内容，点击“同意”签署考试承诺书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4" name="图片 24" descr="考生_我的考场_人脸识别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考生_我的考场_人脸识别1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7" name="图片 27" descr="考生_我的考场_人脸识别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考生_我的考场_人脸识别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22" w:name="_Toc26681"/>
      <w:r>
        <w:rPr>
          <w:rFonts w:hint="eastAsia" w:ascii="微软雅黑" w:hAnsi="微软雅黑" w:eastAsia="微软雅黑" w:cs="微软雅黑"/>
          <w:sz w:val="21"/>
          <w:szCs w:val="21"/>
        </w:rPr>
        <w:t>2.1.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2人脸识别</w:t>
      </w:r>
      <w:bookmarkEnd w:id="22"/>
    </w:p>
    <w:p>
      <w:pPr>
        <w:numPr>
          <w:ilvl w:val="0"/>
          <w:numId w:val="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若该业务已开启人脸识别功能，则考生在进入考场前需要进行人脸识别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85110" cy="2780665"/>
            <wp:effectExtent l="0" t="0" r="15240" b="635"/>
            <wp:docPr id="25" name="图片 25" descr="考生_我的考场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考生_我的考场_人脸识别1"/>
                    <pic:cNvPicPr>
                      <a:picLocks noChangeAspect="1"/>
                    </pic:cNvPicPr>
                  </pic:nvPicPr>
                  <pic:blipFill>
                    <a:blip r:embed="rId29"/>
                    <a:srcRect l="29042" t="16468" r="29003" b="16514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阅读完人脸认证注意事项后，点击“开始认证”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6" name="图片 26" descr="考生_我的考场_人脸识别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考生_我的考场_人脸识别2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选择正常工作的摄像头，点击“开始人脸识别”，提示“认证中，请稍后”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8" name="图片 28" descr="考生_我的考场_人脸识别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考生_我的考场_人脸识别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如果人脸认证成功，则提示“您已通过人脸识别”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29" name="图片 29" descr="考生_我的考场_人脸识别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考生_我的考场_人脸识别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如果人脸认证失败，则提示“人脸识别认证失败”，可以点击“重试”进行重新识别，或者点击“进入考场”进入候考区向候考官反馈情况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30" name="图片 30" descr="考生_我的考场_人脸识别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考生_我的考场_人脸识别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23" w:name="_Toc16127"/>
      <w:r>
        <w:rPr>
          <w:rFonts w:hint="eastAsia" w:ascii="微软雅黑" w:hAnsi="微软雅黑" w:eastAsia="微软雅黑" w:cs="微软雅黑"/>
          <w:sz w:val="21"/>
          <w:szCs w:val="21"/>
        </w:rPr>
        <w:t>2.1.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3候考区</w:t>
      </w:r>
      <w:bookmarkEnd w:id="23"/>
    </w:p>
    <w:p>
      <w:pPr>
        <w:numPr>
          <w:ilvl w:val="0"/>
          <w:numId w:val="8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进入候考区后，当候考官没有上线或者候考官正在跟别的考生进行通话时，考生将无法看到候考官的画面。若当考试要求使用双机位进行面试时，考生需要打开云考AIAPP扫描页面提供的二维码加入第二摄像头。考生需要将手机屏幕锁定设置成“永不”，避免考试期间因手机锁屏造成第二摄像头无法提供视频画面的情况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45275" cy="4192270"/>
            <wp:effectExtent l="0" t="0" r="3175" b="17780"/>
            <wp:docPr id="31" name="图片 31" descr="lQLPDhr5d1DzExnNAyrNBQSwnjJfRLn8Rk4BxffP54CZAA_1284_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lQLPDhr5d1DzExnNAyrNBQSwnjJfRLn8Rk4BxffP54CZAA_1284_8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使用云考AIAPP扫码加入第二机位后，会提示“二机位已加入”字样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7020" cy="4142740"/>
            <wp:effectExtent l="0" t="0" r="11430" b="10160"/>
            <wp:docPr id="34" name="图片 34" descr="lQLPDhr5eGkXYkTNA6zNBeKwTwkjbmoiamQBxfmbRcB0AA_1506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lQLPDhr5eGkXYkTNA6zNBeKwTwkjbmoiamQBxfmbRcB0AA_1506_94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当候考官选择与考生进行对话时，考生可以看到候考官的画面并与候考官进行音视频交流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32" name="图片 32" descr="考生_候考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考生_候考区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当候考官没有与考生开启对话时，考生可以通过聊天功能向候考官反馈问题，寻求帮助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40830" cy="4170045"/>
            <wp:effectExtent l="0" t="0" r="7620" b="1905"/>
            <wp:docPr id="36" name="图片 36" descr="lQLPDhr5eURvuhbNA1bNBVCwtoEZxLvATIkBxfsCNoDUAA_1360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lQLPDhr5eURvuhbNA1bNBVCwtoEZxLvATIkBxfsCNoDUAA_1360_85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当候考官没有与考生开启对话时，考生还可以通过举手功能向候考官反馈问题，寻求帮助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7020" cy="4142740"/>
            <wp:effectExtent l="0" t="0" r="11430" b="10160"/>
            <wp:docPr id="35" name="图片 35" descr="lQLPDhr5eGkXYkTNA6zNBeKwTwkjbmoiamQBxfmbRcB0AA_1506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lQLPDhr5eGkXYkTNA6zNBeKwTwkjbmoiamQBxfmbRcB0AA_1506_94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当考场结束时，候考区会收到结束提醒，点击确定按钮后会退出考场</w:t>
      </w:r>
    </w:p>
    <w:p>
      <w:pPr>
        <w:pStyle w:val="5"/>
        <w:rPr>
          <w:rFonts w:hint="eastAsia"/>
          <w:lang w:val="en-US" w:eastAsia="zh-CN"/>
        </w:rPr>
      </w:pPr>
      <w:bookmarkStart w:id="24" w:name="_Toc12865"/>
      <w:r>
        <w:rPr>
          <w:rFonts w:hint="eastAsia" w:ascii="微软雅黑" w:hAnsi="微软雅黑" w:eastAsia="微软雅黑" w:cs="微软雅黑"/>
          <w:sz w:val="21"/>
          <w:szCs w:val="21"/>
        </w:rPr>
        <w:t>2.1.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4主考区</w:t>
      </w:r>
      <w:bookmarkEnd w:id="24"/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当轮到该考生进行面试时，该考生在候考区会收到面试邀请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37" name="图片 37" descr="考生_邀请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考生_邀请面试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点击“开始面试”，进入到主考区，主考区默认为宫格视图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38" name="图片 38" descr="考生_宫格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考生_宫格视图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点击“演讲者视图”，主考区将进入演讲者视图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40" name="图片 40" descr="考生_演讲者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考生_演讲者视图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点击“共享屏幕”，考生可以选择共享整个屏幕、共享应用窗口等，共享后的窗口单独占用一个窗口，不会遮挡住考生图像</w:t>
      </w:r>
    </w:p>
    <w:p>
      <w:pPr>
        <w:pStyle w:val="2"/>
      </w:pPr>
      <w:r>
        <w:drawing>
          <wp:inline distT="0" distB="0" distL="114300" distR="114300">
            <wp:extent cx="4905375" cy="3943350"/>
            <wp:effectExtent l="0" t="0" r="9525" b="0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点击“聊天”，考生可以通过聊天功能向候考官反馈问题，寻求帮助（同候考区）</w:t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主考官下发试卷</w:t>
      </w:r>
      <w:r>
        <w:rPr>
          <w:rFonts w:hint="eastAsia" w:ascii="微软雅黑" w:hAnsi="微软雅黑" w:cs="微软雅黑"/>
          <w:lang w:val="en-US" w:eastAsia="zh-CN"/>
        </w:rPr>
        <w:t>，若主考官进行</w:t>
      </w:r>
      <w:r>
        <w:rPr>
          <w:rFonts w:hint="eastAsia" w:ascii="微软雅黑" w:hAnsi="微软雅黑" w:eastAsia="微软雅黑" w:cs="微软雅黑"/>
          <w:lang w:val="en-US" w:eastAsia="zh-CN"/>
        </w:rPr>
        <w:t>指定下发</w:t>
      </w:r>
      <w:r>
        <w:rPr>
          <w:rFonts w:hint="eastAsia" w:ascii="微软雅黑" w:hAnsi="微软雅黑" w:cs="微软雅黑"/>
          <w:lang w:val="en-US" w:eastAsia="zh-CN"/>
        </w:rPr>
        <w:t>，考生将直接看到考题情况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41" name="图片 41" descr="考生_直接查看试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考生_直接查看试卷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若主考官进行</w:t>
      </w:r>
      <w:r>
        <w:rPr>
          <w:rFonts w:hint="eastAsia" w:ascii="微软雅黑" w:hAnsi="微软雅黑" w:eastAsia="微软雅黑" w:cs="微软雅黑"/>
          <w:lang w:val="en-US" w:eastAsia="zh-CN"/>
        </w:rPr>
        <w:t>随机下发</w:t>
      </w:r>
      <w:r>
        <w:rPr>
          <w:rFonts w:hint="eastAsia" w:ascii="微软雅黑" w:hAnsi="微软雅黑" w:cs="微软雅黑"/>
          <w:lang w:val="en-US" w:eastAsia="zh-CN"/>
        </w:rPr>
        <w:t>，考生将直接看到“正在随机选题，请稍后...”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45910" cy="4135755"/>
            <wp:effectExtent l="0" t="0" r="2540" b="17145"/>
            <wp:docPr id="42" name="图片 42" descr="lQLPDhr5ez-sBaHNA5TNBcCwe0NJA8ITUMwBxf5BN0BzAA_1472_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lQLPDhr5ez-sBaHNA5TNBcCwe0NJA8ITUMwBxf5BN0BzAA_1472_91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若主考官进行</w:t>
      </w:r>
      <w:r>
        <w:rPr>
          <w:rFonts w:hint="eastAsia" w:ascii="微软雅黑" w:hAnsi="微软雅黑" w:eastAsia="微软雅黑" w:cs="微软雅黑"/>
          <w:lang w:val="en-US" w:eastAsia="zh-CN"/>
        </w:rPr>
        <w:t>考生选取</w:t>
      </w:r>
      <w:r>
        <w:rPr>
          <w:rFonts w:hint="eastAsia" w:ascii="微软雅黑" w:hAnsi="微软雅黑" w:cs="微软雅黑"/>
          <w:lang w:val="en-US" w:eastAsia="zh-CN"/>
        </w:rPr>
        <w:t>，考生将可以直接选择屏幕上的考卷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46" name="图片 46" descr="考生_学生选取试卷2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考生_学生选取试卷2份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25" w:name="_Toc16173"/>
      <w:r>
        <w:rPr>
          <w:rFonts w:hint="eastAsia" w:ascii="微软雅黑" w:hAnsi="微软雅黑" w:eastAsia="微软雅黑" w:cs="微软雅黑"/>
          <w:sz w:val="24"/>
          <w:szCs w:val="24"/>
        </w:rPr>
        <w:t>2.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人机笔试</w:t>
      </w:r>
      <w:bookmarkEnd w:id="25"/>
    </w:p>
    <w:p>
      <w:pPr>
        <w:numPr>
          <w:ilvl w:val="0"/>
          <w:numId w:val="10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点击“进入考场”，若考场有设置限制迟到且进入考场时，试卷已经下发超过指定时间，无法进入考场，提示“试卷已下发超过X分钟，不允许进入”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48" name="图片 48" descr="考生_我的考场_超过考试时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考生_我的考场_超过考试时间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bookmarkStart w:id="26" w:name="_Toc15361"/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.1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签署考试承诺书</w:t>
      </w:r>
      <w:bookmarkEnd w:id="26"/>
    </w:p>
    <w:p>
      <w:pPr>
        <w:numPr>
          <w:ilvl w:val="0"/>
          <w:numId w:val="11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点击“进入考场”，若该业务已开启考试承诺书功能，则考生在进入考场前需要同意考试承诺书的内容，点击“同意”签署考试承诺书（同互动面试功能）</w:t>
      </w:r>
    </w:p>
    <w:p>
      <w:pPr>
        <w:pStyle w:val="5"/>
        <w:rPr>
          <w:rFonts w:hint="eastAsia"/>
          <w:lang w:val="en-US" w:eastAsia="zh-CN"/>
        </w:rPr>
      </w:pPr>
      <w:bookmarkStart w:id="27" w:name="_Toc5035"/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2人脸识别</w:t>
      </w:r>
      <w:bookmarkEnd w:id="27"/>
    </w:p>
    <w:p>
      <w:pPr>
        <w:numPr>
          <w:ilvl w:val="0"/>
          <w:numId w:val="12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若该业务已开启人脸识别功能，则考生在进入考场前需要进行人脸识别（同互动面试功能）</w:t>
      </w:r>
    </w:p>
    <w:p>
      <w:pPr>
        <w:pStyle w:val="5"/>
        <w:rPr>
          <w:rFonts w:hint="default"/>
          <w:lang w:val="en-US" w:eastAsia="zh-CN"/>
        </w:rPr>
      </w:pPr>
      <w:bookmarkStart w:id="28" w:name="_Toc14194"/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3等待下发考卷</w:t>
      </w:r>
      <w:bookmarkEnd w:id="28"/>
    </w:p>
    <w:p>
      <w:pPr>
        <w:numPr>
          <w:ilvl w:val="0"/>
          <w:numId w:val="13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进入人机笔试界面后，需要阅读笔试考试注意事项，等待考卷下发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41465" cy="4237990"/>
            <wp:effectExtent l="0" t="0" r="6985" b="10160"/>
            <wp:docPr id="80" name="图片 80" descr="lQLPDhsmS0tOPunNA7jNBdSwXodxwPbOn5YCD2oOgMC9AA_1492_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lQLPDhsmS0tOPunNA7jNBdSwXodxwPbOn5YCD2oOgMC9AA_1492_95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考生可以通过聊天功能向考官反馈问题，寻求帮助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40830" cy="4169410"/>
            <wp:effectExtent l="0" t="0" r="7620" b="2540"/>
            <wp:docPr id="79" name="图片 79" descr="lQLPDhsmSyZZyunNA2DNBWCwBGP_wqEeK6ECD2nRswAEAA_1376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lQLPDhsmSyZZyunNA2DNBWCwBGP_wqEeK6ECD2nRswAEAA_1376_86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rPr>
          <w:rFonts w:hint="eastAsia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考生还可以通过举手功能向考官反馈问题，寻求帮助</w:t>
      </w:r>
    </w:p>
    <w:p>
      <w:pPr>
        <w:pStyle w:val="5"/>
        <w:rPr>
          <w:rFonts w:hint="eastAsia" w:ascii="微软雅黑" w:hAnsi="微软雅黑" w:cs="微软雅黑"/>
          <w:sz w:val="21"/>
          <w:szCs w:val="21"/>
          <w:lang w:val="en-US" w:eastAsia="zh-CN"/>
        </w:rPr>
      </w:pPr>
      <w:bookmarkStart w:id="29" w:name="_Toc19515"/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4开始作答</w:t>
      </w:r>
      <w:bookmarkEnd w:id="29"/>
    </w:p>
    <w:p>
      <w:pPr>
        <w:numPr>
          <w:ilvl w:val="0"/>
          <w:numId w:val="14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当发卷倒计时结束或者考官主动下发考卷后，考生会收到“考卷已下发，请开始作答”的提示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45275" cy="4227195"/>
            <wp:effectExtent l="0" t="0" r="3175" b="1905"/>
            <wp:docPr id="81" name="图片 81" descr="lQLPDhsmS1fSlq3NA4bNBYqwrHTxdovQP8QCD2oiyQBHAA_1418_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lQLPDhsmS1fSlq3NA4bNBYqwrHTxdovQP8QCD2oiyQBHAA_1418_90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微软雅黑" w:hAnsi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4.1在线编辑类试卷</w:t>
      </w:r>
    </w:p>
    <w:p>
      <w:pPr>
        <w:numPr>
          <w:ilvl w:val="0"/>
          <w:numId w:val="15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在线编辑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类试卷</w:t>
      </w:r>
      <w:r>
        <w:rPr>
          <w:rFonts w:hint="eastAsia" w:ascii="微软雅黑" w:hAnsi="微软雅黑" w:cs="微软雅黑"/>
          <w:lang w:val="en-US" w:eastAsia="zh-CN"/>
        </w:rPr>
        <w:t>题型包括单选题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33850"/>
            <wp:effectExtent l="0" t="0" r="10160" b="0"/>
            <wp:docPr id="82" name="图片 82" descr="lQLPDhsmS6tE5AHNAzbNBSiwOqrK712mS_0CD2qrSIA-AA_1320_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lQLPDhsmS6tE5AHNAzbNBSiwOqrK712mS_0CD2qrSIA-AA_1320_82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多选题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57" name="图片 57" descr="笔试_多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笔试_多选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判断题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58" name="图片 58" descr="笔试_判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笔试_判断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问答题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338320"/>
            <wp:effectExtent l="0" t="0" r="10160" b="5080"/>
            <wp:docPr id="59" name="图片 59" descr="笔试_问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笔试_问答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听力题有一定的试听次数，听完后不可再试听，听力题播放的过程中如果切换页面会弹出提示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6315710"/>
            <wp:effectExtent l="0" t="0" r="10160" b="8890"/>
            <wp:docPr id="62" name="图片 62" descr="笔试_听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笔试_听力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60" name="图片 60" descr="笔试_听力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笔试_听力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61" name="图片 61" descr="笔试_听力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笔试_听力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微软雅黑" w:hAnsi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4.2文档类试卷</w:t>
      </w:r>
    </w:p>
    <w:p>
      <w:pPr>
        <w:numPr>
          <w:ilvl w:val="0"/>
          <w:numId w:val="16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文档类试卷需要考生提前下载好答题卡并提前打印出来，考试过程中在纸上作答，作答完毕后通过手机拍照的方式将答卷上传到系统</w:t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218305"/>
            <wp:effectExtent l="0" t="0" r="10160" b="10795"/>
            <wp:docPr id="63" name="图片 63" descr="拍照上传_PC双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拍照上传_PC双机位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微软雅黑" w:hAnsi="微软雅黑" w:cs="微软雅黑"/>
          <w:sz w:val="21"/>
          <w:szCs w:val="21"/>
          <w:lang w:val="en-US" w:eastAsia="zh-CN"/>
        </w:rPr>
      </w:pPr>
      <w:bookmarkStart w:id="30" w:name="_Toc19506"/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5提交答卷</w:t>
      </w:r>
      <w:bookmarkEnd w:id="30"/>
    </w:p>
    <w:p>
      <w:pPr>
        <w:numPr>
          <w:ilvl w:val="0"/>
          <w:numId w:val="1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若考场有设置限制交卷，试卷下发时长未超过指定时间，将无法交卷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218305"/>
            <wp:effectExtent l="0" t="0" r="10160" b="10795"/>
            <wp:docPr id="66" name="图片 66" descr="笔试_进入考场(交卷倒计时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笔试_进入考场(交卷倒计时)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若考试有必答题未作答，将无法交卷，提示“有必答题未作答，无法交卷”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218305"/>
            <wp:effectExtent l="0" t="0" r="10160" b="10795"/>
            <wp:docPr id="67" name="图片 67" descr="笔试_进入考场_交卷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笔试_进入考场_交卷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7"/>
        </w:numPr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试卷下发时长超过指定时间，且所有必答题均已作答，将可以交卷，点击“我要交卷”，弹出交卷提示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218305"/>
            <wp:effectExtent l="0" t="0" r="10160" b="10795"/>
            <wp:docPr id="68" name="图片 68" descr="笔试_进入考场_交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笔试_进入考场_交卷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7"/>
        </w:numPr>
        <w:rPr>
          <w:rFonts w:hint="eastAsia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试卷提交成功后会退出考场</w:t>
      </w:r>
    </w:p>
    <w:p>
      <w:pPr>
        <w:pStyle w:val="3"/>
        <w:rPr>
          <w:rFonts w:hint="eastAsia" w:ascii="微软雅黑" w:hAnsi="微软雅黑" w:eastAsia="微软雅黑" w:cs="微软雅黑"/>
          <w:lang w:val="en-US" w:eastAsia="zh-CN"/>
        </w:rPr>
      </w:pPr>
      <w:bookmarkStart w:id="31" w:name="_Toc5453"/>
      <w:bookmarkStart w:id="32" w:name="_Toc28547"/>
      <w:r>
        <w:rPr>
          <w:rFonts w:hint="eastAsia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.考</w:t>
      </w:r>
      <w:r>
        <w:rPr>
          <w:rFonts w:hint="eastAsia" w:ascii="微软雅黑" w:hAnsi="微软雅黑" w:eastAsia="微软雅黑" w:cs="微软雅黑"/>
          <w:lang w:val="en-US" w:eastAsia="zh-CN"/>
        </w:rPr>
        <w:t>后</w:t>
      </w:r>
      <w:bookmarkEnd w:id="31"/>
      <w:bookmarkEnd w:id="32"/>
    </w:p>
    <w:p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bookmarkStart w:id="33" w:name="_Toc4910"/>
      <w:r>
        <w:rPr>
          <w:rFonts w:hint="eastAsia" w:ascii="微软雅黑" w:hAnsi="微软雅黑" w:cs="微软雅黑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zCs w:val="24"/>
        </w:rPr>
        <w:t>.1.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互动</w:t>
      </w:r>
      <w:r>
        <w:rPr>
          <w:rFonts w:hint="eastAsia" w:ascii="微软雅黑" w:hAnsi="微软雅黑" w:eastAsia="微软雅黑" w:cs="微软雅黑"/>
          <w:sz w:val="24"/>
          <w:szCs w:val="24"/>
        </w:rPr>
        <w:t>面试</w:t>
      </w:r>
      <w:bookmarkEnd w:id="33"/>
    </w:p>
    <w:p>
      <w:pPr>
        <w:numPr>
          <w:ilvl w:val="0"/>
          <w:numId w:val="18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考试结束时，考生会收到结束提醒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47" name="图片 47" descr="考生_考试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考生_考试结束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8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点击“确定”退出考场</w:t>
      </w:r>
    </w:p>
    <w:p>
      <w:pPr>
        <w:pStyle w:val="4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34" w:name="_Toc12644"/>
      <w:r>
        <w:rPr>
          <w:rFonts w:hint="eastAsia" w:ascii="微软雅黑" w:hAnsi="微软雅黑" w:cs="微软雅黑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zCs w:val="24"/>
        </w:rPr>
        <w:t>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人机笔试</w:t>
      </w:r>
      <w:bookmarkEnd w:id="34"/>
    </w:p>
    <w:p>
      <w:pPr>
        <w:numPr>
          <w:ilvl w:val="0"/>
          <w:numId w:val="19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考试结束前5分钟，考生会收到交卷提醒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324350"/>
            <wp:effectExtent l="0" t="0" r="10160" b="0"/>
            <wp:docPr id="65" name="图片 65" descr="笔试_考试结束提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笔试_考试结束提醒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9"/>
        </w:numPr>
        <w:outlineLvl w:val="9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考试结束倒计结束后，考生会收到结束提醒，点击“确定”后退出考场</w:t>
      </w:r>
    </w:p>
    <w:p>
      <w:pPr>
        <w:pStyle w:val="2"/>
        <w:rPr>
          <w:rFonts w:hint="eastAsia"/>
          <w:lang w:val="en-US" w:eastAsia="zh-CN"/>
        </w:rPr>
      </w:pPr>
      <w:bookmarkStart w:id="35" w:name="_GoBack"/>
      <w:r>
        <w:rPr>
          <w:rFonts w:hint="eastAsia"/>
          <w:lang w:val="en-US" w:eastAsia="zh-CN"/>
        </w:rPr>
        <w:drawing>
          <wp:inline distT="0" distB="0" distL="114300" distR="114300">
            <wp:extent cx="6638290" cy="4218305"/>
            <wp:effectExtent l="0" t="0" r="10160" b="10795"/>
            <wp:docPr id="69" name="图片 69" descr="笔试_考试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笔试_考试结束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E4D26F"/>
    <w:multiLevelType w:val="singleLevel"/>
    <w:tmpl w:val="84E4D26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F73EA79"/>
    <w:multiLevelType w:val="singleLevel"/>
    <w:tmpl w:val="BF73EA7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FB581F1"/>
    <w:multiLevelType w:val="singleLevel"/>
    <w:tmpl w:val="BFB581F1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3049B48"/>
    <w:multiLevelType w:val="singleLevel"/>
    <w:tmpl w:val="D3049B4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0E54D9CD"/>
    <w:multiLevelType w:val="singleLevel"/>
    <w:tmpl w:val="0E54D9C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10A6760E"/>
    <w:multiLevelType w:val="singleLevel"/>
    <w:tmpl w:val="10A6760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F396A2E"/>
    <w:multiLevelType w:val="singleLevel"/>
    <w:tmpl w:val="1F396A2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2AF3210A"/>
    <w:multiLevelType w:val="singleLevel"/>
    <w:tmpl w:val="2AF3210A"/>
    <w:lvl w:ilvl="0" w:tentative="0">
      <w:start w:val="1"/>
      <w:numFmt w:val="lowerLetter"/>
      <w:suff w:val="space"/>
      <w:lvlText w:val="(%1)"/>
      <w:lvlJc w:val="left"/>
    </w:lvl>
  </w:abstractNum>
  <w:abstractNum w:abstractNumId="9">
    <w:nsid w:val="3E8B63E4"/>
    <w:multiLevelType w:val="singleLevel"/>
    <w:tmpl w:val="3E8B63E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4D4A209F"/>
    <w:multiLevelType w:val="singleLevel"/>
    <w:tmpl w:val="4D4A209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4F3CE5C3"/>
    <w:multiLevelType w:val="singleLevel"/>
    <w:tmpl w:val="4F3CE5C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51540119"/>
    <w:multiLevelType w:val="singleLevel"/>
    <w:tmpl w:val="5154011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599284BF"/>
    <w:multiLevelType w:val="singleLevel"/>
    <w:tmpl w:val="599284B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5A132B70"/>
    <w:multiLevelType w:val="singleLevel"/>
    <w:tmpl w:val="5A132B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60816A03"/>
    <w:multiLevelType w:val="singleLevel"/>
    <w:tmpl w:val="60816A0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6401CCA8"/>
    <w:multiLevelType w:val="singleLevel"/>
    <w:tmpl w:val="6401CCA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660A4F4E"/>
    <w:multiLevelType w:val="multilevel"/>
    <w:tmpl w:val="660A4F4E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5CB6BC3"/>
    <w:multiLevelType w:val="singleLevel"/>
    <w:tmpl w:val="75CB6BC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2"/>
  </w:num>
  <w:num w:numId="5">
    <w:abstractNumId w:val="12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  <w:num w:numId="13">
    <w:abstractNumId w:val="5"/>
  </w:num>
  <w:num w:numId="14">
    <w:abstractNumId w:val="13"/>
  </w:num>
  <w:num w:numId="15">
    <w:abstractNumId w:val="7"/>
  </w:num>
  <w:num w:numId="16">
    <w:abstractNumId w:val="15"/>
  </w:num>
  <w:num w:numId="17">
    <w:abstractNumId w:val="16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C3795"/>
    <w:rsid w:val="05E008A6"/>
    <w:rsid w:val="07FC4815"/>
    <w:rsid w:val="0CEC2128"/>
    <w:rsid w:val="0DB03AB9"/>
    <w:rsid w:val="209740BF"/>
    <w:rsid w:val="2DDA29F2"/>
    <w:rsid w:val="34592464"/>
    <w:rsid w:val="37623D58"/>
    <w:rsid w:val="3D085B37"/>
    <w:rsid w:val="3F757C8C"/>
    <w:rsid w:val="473C3795"/>
    <w:rsid w:val="54BD7C02"/>
    <w:rsid w:val="54F74A5B"/>
    <w:rsid w:val="57273EEE"/>
    <w:rsid w:val="5975172F"/>
    <w:rsid w:val="63BB3A4C"/>
    <w:rsid w:val="646F2BA1"/>
    <w:rsid w:val="649A5ACE"/>
    <w:rsid w:val="65472924"/>
    <w:rsid w:val="6C216056"/>
    <w:rsid w:val="6E505C6F"/>
    <w:rsid w:val="6FF20E76"/>
    <w:rsid w:val="786509D8"/>
    <w:rsid w:val="7A7F6F8E"/>
    <w:rsid w:val="7CD27A4C"/>
    <w:rsid w:val="7DB72A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jc w:val="left"/>
    </w:pPr>
    <w:rPr>
      <w:szCs w:val="22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5" Type="http://schemas.openxmlformats.org/officeDocument/2006/relationships/fontTable" Target="fontTable.xml"/><Relationship Id="rId64" Type="http://schemas.openxmlformats.org/officeDocument/2006/relationships/numbering" Target="numbering.xml"/><Relationship Id="rId63" Type="http://schemas.openxmlformats.org/officeDocument/2006/relationships/customXml" Target="../customXml/item1.xml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2021-12-17T06:27:00Z</dcterms:created>
  <dc:creator>Administrator</dc:creator>
  <cp:lastModifiedBy>Administrator</cp:lastModifiedBy>
  <dcterms:modified xsi:type="dcterms:W3CDTF">2022-02-14T08:37:06Z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